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7F" w:rsidRPr="00095625" w:rsidRDefault="00BB3A78" w:rsidP="002B197F">
      <w:pPr>
        <w:pStyle w:val="Intestazione"/>
        <w:jc w:val="right"/>
        <w:rPr>
          <w:rFonts w:ascii="Arial" w:hAnsi="Arial" w:cs="Arial"/>
          <w:bCs/>
          <w:color w:val="FF0000"/>
          <w:sz w:val="16"/>
          <w:szCs w:val="16"/>
          <w:lang w:val="it-IT" w:eastAsia="it-IT"/>
        </w:rPr>
      </w:pPr>
      <w:r w:rsidRPr="00095625">
        <w:rPr>
          <w:rFonts w:ascii="Arial" w:hAnsi="Arial" w:cs="Arial"/>
          <w:bCs/>
          <w:color w:val="FF0000"/>
          <w:sz w:val="16"/>
          <w:szCs w:val="16"/>
          <w:highlight w:val="green"/>
          <w:lang w:val="it-IT" w:eastAsia="it-IT"/>
        </w:rPr>
        <w:t>Versione 07.10.2020</w:t>
      </w:r>
    </w:p>
    <w:p w:rsidR="002B197F" w:rsidRPr="002B197F" w:rsidRDefault="002B197F" w:rsidP="002B19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i/>
          <w:iCs/>
          <w:caps/>
          <w:sz w:val="24"/>
          <w:szCs w:val="24"/>
          <w:lang w:val="it-IT" w:eastAsia="it-IT"/>
        </w:rPr>
      </w:pPr>
    </w:p>
    <w:p w:rsidR="002B197F" w:rsidRPr="002B197F" w:rsidRDefault="002B197F" w:rsidP="002B19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caps/>
          <w:sz w:val="22"/>
          <w:szCs w:val="22"/>
          <w:lang w:val="it-IT" w:eastAsia="it-IT"/>
        </w:rPr>
      </w:pPr>
      <w:r w:rsidRPr="002B197F"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>MODULO relativo allA GARANZIA FIDEIUSSORIA</w:t>
      </w:r>
      <w:r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 xml:space="preserve"> definitiva</w:t>
      </w:r>
      <w:r w:rsidRPr="002B197F"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 xml:space="preserve"> </w:t>
      </w:r>
    </w:p>
    <w:p w:rsidR="002B197F" w:rsidRPr="002B197F" w:rsidRDefault="002B197F" w:rsidP="002B19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caps/>
          <w:sz w:val="22"/>
          <w:szCs w:val="22"/>
          <w:lang w:val="it-IT" w:eastAsia="it-IT"/>
        </w:rPr>
      </w:pPr>
      <w:r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>schema tipo 1.2</w:t>
      </w:r>
      <w:r w:rsidRPr="002B197F"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 xml:space="preserve"> (D.M. n. 31/2018) </w:t>
      </w:r>
    </w:p>
    <w:p w:rsidR="002B197F" w:rsidRPr="002B197F" w:rsidRDefault="002B197F" w:rsidP="002B19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bCs/>
          <w:caps/>
          <w:sz w:val="22"/>
          <w:szCs w:val="22"/>
          <w:lang w:val="it-IT" w:eastAsia="it-IT"/>
        </w:rPr>
      </w:pPr>
      <w:r w:rsidRPr="002B197F"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>CON INTEGRAZIONI AI SENSI</w:t>
      </w:r>
      <w:r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 xml:space="preserve"> </w:t>
      </w:r>
      <w:r w:rsidRPr="002B197F">
        <w:rPr>
          <w:rFonts w:ascii="Arial" w:hAnsi="Arial" w:cs="Arial"/>
          <w:b/>
          <w:bCs/>
          <w:caps/>
          <w:sz w:val="22"/>
          <w:szCs w:val="22"/>
          <w:lang w:val="it-IT" w:eastAsia="it-IT"/>
        </w:rPr>
        <w:t>DELLA LEGGE pROVINCiALE n. 16/2015</w:t>
      </w:r>
    </w:p>
    <w:p w:rsidR="002B197F" w:rsidRPr="002B197F" w:rsidRDefault="002B197F" w:rsidP="002B19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sz w:val="18"/>
          <w:szCs w:val="18"/>
          <w:lang w:val="it-IT" w:eastAsia="it-IT"/>
        </w:rPr>
      </w:pPr>
    </w:p>
    <w:p w:rsidR="002B197F" w:rsidRPr="002B197F" w:rsidRDefault="002B197F" w:rsidP="002B197F">
      <w:pPr>
        <w:widowControl w:val="0"/>
        <w:jc w:val="right"/>
        <w:rPr>
          <w:rFonts w:ascii="Arial" w:hAnsi="Arial" w:cs="Arial"/>
          <w:sz w:val="18"/>
          <w:szCs w:val="18"/>
          <w:lang w:val="it-IT" w:eastAsia="it-IT"/>
        </w:rPr>
      </w:pPr>
    </w:p>
    <w:p w:rsidR="00A575F9" w:rsidRPr="00A575F9" w:rsidRDefault="00A575F9" w:rsidP="00A575F9">
      <w:pPr>
        <w:autoSpaceDE w:val="0"/>
        <w:autoSpaceDN w:val="0"/>
        <w:adjustRightInd w:val="0"/>
        <w:ind w:firstLine="227"/>
        <w:jc w:val="both"/>
        <w:rPr>
          <w:rFonts w:ascii="Arial" w:hAnsi="Arial" w:cs="Arial"/>
          <w:lang w:val="it-IT"/>
        </w:rPr>
      </w:pPr>
    </w:p>
    <w:p w:rsidR="00A575F9" w:rsidRPr="003C2A93" w:rsidRDefault="00A575F9" w:rsidP="00A575F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lang w:val="it-IT"/>
        </w:rPr>
      </w:pPr>
      <w:r w:rsidRPr="003C2A93">
        <w:rPr>
          <w:rFonts w:ascii="Arial" w:hAnsi="Arial" w:cs="Arial"/>
          <w:b/>
          <w:bCs/>
          <w:lang w:val="it-IT"/>
        </w:rPr>
        <w:t>ATTO DI FIDEIUSSIONE (se Garante Banca o Intermediario finanziario)</w:t>
      </w:r>
    </w:p>
    <w:p w:rsidR="00A575F9" w:rsidRPr="003C2A93" w:rsidRDefault="00A575F9" w:rsidP="00A575F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lang w:val="it-IT"/>
        </w:rPr>
      </w:pPr>
      <w:r w:rsidRPr="003C2A93">
        <w:rPr>
          <w:rFonts w:ascii="Arial" w:hAnsi="Arial" w:cs="Arial"/>
          <w:b/>
          <w:bCs/>
          <w:lang w:val="it-IT"/>
        </w:rPr>
        <w:t xml:space="preserve">POLIZZA FIDEIUSSORIA (se Garante Impresa di assicurazione) </w:t>
      </w:r>
    </w:p>
    <w:p w:rsidR="00A575F9" w:rsidRPr="003C2A93" w:rsidRDefault="00A575F9" w:rsidP="00A575F9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lang w:val="it-IT"/>
        </w:rPr>
      </w:pPr>
      <w:r w:rsidRPr="003C2A93">
        <w:rPr>
          <w:rFonts w:ascii="Arial" w:hAnsi="Arial" w:cs="Arial"/>
          <w:b/>
          <w:snapToGrid w:val="0"/>
          <w:lang w:val="it-IT"/>
        </w:rPr>
        <w:t xml:space="preserve">ai sensi </w:t>
      </w:r>
      <w:r w:rsidRPr="003C2A93">
        <w:rPr>
          <w:rFonts w:ascii="Arial" w:hAnsi="Arial" w:cs="Arial"/>
          <w:b/>
          <w:lang w:val="it-IT"/>
        </w:rPr>
        <w:t>dell’art. 36, comma 1 della LP n. 16/2015</w:t>
      </w:r>
      <w:r w:rsidRPr="003C2A93">
        <w:rPr>
          <w:rFonts w:ascii="Arial" w:hAnsi="Arial" w:cs="Arial"/>
          <w:b/>
          <w:snapToGrid w:val="0"/>
          <w:lang w:val="it-IT"/>
        </w:rPr>
        <w:t xml:space="preserve"> e dell’articolo 103 (ad eccezione </w:t>
      </w:r>
      <w:r w:rsidRPr="003C2A93">
        <w:rPr>
          <w:rFonts w:ascii="Arial" w:hAnsi="Arial" w:cs="Arial"/>
          <w:b/>
          <w:lang w:val="it-IT"/>
        </w:rPr>
        <w:t xml:space="preserve">dei periodi 1, laddove si prevede l’ammontare della cauzione definitiva, 2, 3 e 4 del comma 1) </w:t>
      </w:r>
      <w:r w:rsidRPr="003C2A93">
        <w:rPr>
          <w:rFonts w:ascii="Arial" w:hAnsi="Arial" w:cs="Arial"/>
          <w:b/>
          <w:bCs/>
          <w:lang w:val="it-IT"/>
        </w:rPr>
        <w:t xml:space="preserve">e ai sensi dell’art. 93, comma 1, </w:t>
      </w:r>
      <w:r w:rsidR="00042909" w:rsidRPr="003C2A93">
        <w:rPr>
          <w:rFonts w:ascii="Arial" w:hAnsi="Arial" w:cs="Arial"/>
          <w:b/>
          <w:lang w:val="it-IT"/>
        </w:rPr>
        <w:t xml:space="preserve">del D.Lgs. n. 50/2016 e ss.mm.ii </w:t>
      </w: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7"/>
      </w:tblGrid>
      <w:tr w:rsidR="00526ADF" w:rsidRPr="00C630F8" w:rsidTr="00375D35">
        <w:tc>
          <w:tcPr>
            <w:tcW w:w="9777" w:type="dxa"/>
          </w:tcPr>
          <w:p w:rsidR="00526ADF" w:rsidRPr="003C2A93" w:rsidRDefault="00526ADF" w:rsidP="00375D35">
            <w:pPr>
              <w:jc w:val="center"/>
              <w:rPr>
                <w:rFonts w:ascii="Arial" w:hAnsi="Arial" w:cs="Arial"/>
                <w:snapToGrid w:val="0"/>
                <w:lang w:val="it-IT"/>
              </w:rPr>
            </w:pPr>
          </w:p>
          <w:p w:rsidR="00526ADF" w:rsidRPr="003C2A93" w:rsidRDefault="00526ADF" w:rsidP="00375708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it-IT"/>
              </w:rPr>
            </w:pPr>
            <w:r w:rsidRPr="003C2A93">
              <w:rPr>
                <w:rFonts w:ascii="Arial" w:hAnsi="Arial" w:cs="Arial"/>
                <w:b/>
                <w:snapToGrid w:val="0"/>
                <w:sz w:val="24"/>
                <w:szCs w:val="24"/>
                <w:lang w:val="it-IT"/>
              </w:rPr>
              <w:t>SCHEMA TIPO 1.2</w:t>
            </w:r>
            <w:r w:rsidR="00375708" w:rsidRPr="003C2A93">
              <w:rPr>
                <w:rFonts w:ascii="Arial" w:hAnsi="Arial" w:cs="Arial"/>
                <w:b/>
                <w:snapToGrid w:val="0"/>
                <w:sz w:val="24"/>
                <w:szCs w:val="24"/>
                <w:lang w:val="it-IT"/>
              </w:rPr>
              <w:t xml:space="preserve"> – GARANZIA FIDEIUSSORIA DEFINITIVA</w:t>
            </w:r>
          </w:p>
          <w:p w:rsidR="00375708" w:rsidRPr="003C2A93" w:rsidRDefault="00375708" w:rsidP="00375708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it-IT"/>
              </w:rPr>
            </w:pPr>
          </w:p>
          <w:p w:rsidR="00375708" w:rsidRPr="003C2A93" w:rsidRDefault="00375708" w:rsidP="00375708">
            <w:pPr>
              <w:rPr>
                <w:rFonts w:ascii="Arial" w:hAnsi="Arial" w:cs="Arial"/>
                <w:b/>
                <w:snapToGrid w:val="0"/>
                <w:sz w:val="24"/>
                <w:szCs w:val="24"/>
                <w:lang w:val="it-IT"/>
              </w:rPr>
            </w:pPr>
            <w:r w:rsidRPr="003C2A93">
              <w:rPr>
                <w:rFonts w:ascii="Arial" w:hAnsi="Arial" w:cs="Arial"/>
                <w:b/>
                <w:snapToGrid w:val="0"/>
                <w:sz w:val="24"/>
                <w:szCs w:val="24"/>
                <w:lang w:val="it-IT"/>
              </w:rPr>
              <w:t>SCHEDA TECNICA 1.2</w:t>
            </w:r>
          </w:p>
          <w:p w:rsidR="00526ADF" w:rsidRPr="003C2A93" w:rsidRDefault="00526ADF" w:rsidP="00375D35">
            <w:pPr>
              <w:jc w:val="center"/>
              <w:rPr>
                <w:rFonts w:ascii="Arial" w:hAnsi="Arial" w:cs="Arial"/>
                <w:snapToGrid w:val="0"/>
                <w:lang w:val="it-IT"/>
              </w:rPr>
            </w:pPr>
          </w:p>
        </w:tc>
      </w:tr>
    </w:tbl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4331A0" w:rsidRPr="003C2A93" w:rsidRDefault="004331A0" w:rsidP="004331A0">
      <w:pPr>
        <w:pStyle w:val="PreformattatoHTML"/>
        <w:jc w:val="both"/>
        <w:rPr>
          <w:rFonts w:ascii="Arial" w:hAnsi="Arial" w:cs="Arial"/>
          <w:snapToGrid w:val="0"/>
        </w:rPr>
      </w:pPr>
      <w:r w:rsidRPr="003C2A93">
        <w:rPr>
          <w:rFonts w:ascii="Arial" w:hAnsi="Arial" w:cs="Arial"/>
          <w:snapToGrid w:val="0"/>
        </w:rPr>
        <w:t>(Lavori, Servizi e Forniture) – Condizioni che rilevano nel rapporto tra Stazione appaltante</w:t>
      </w:r>
      <w:r w:rsidR="00BF4DE8" w:rsidRPr="003C2A93">
        <w:rPr>
          <w:rFonts w:ascii="Arial" w:hAnsi="Arial" w:cs="Arial"/>
          <w:snapToGrid w:val="0"/>
        </w:rPr>
        <w:t>/ente committente</w:t>
      </w:r>
      <w:r w:rsidRPr="003C2A93">
        <w:rPr>
          <w:rFonts w:ascii="Arial" w:hAnsi="Arial" w:cs="Arial"/>
          <w:snapToGrid w:val="0"/>
        </w:rPr>
        <w:t xml:space="preserve"> e Garante</w:t>
      </w:r>
    </w:p>
    <w:p w:rsidR="004331A0" w:rsidRDefault="004331A0" w:rsidP="004331A0">
      <w:pPr>
        <w:pStyle w:val="Titolo1"/>
        <w:jc w:val="both"/>
        <w:rPr>
          <w:rFonts w:ascii="Arial" w:hAnsi="Arial" w:cs="Arial"/>
          <w:b w:val="0"/>
          <w:snapToGrid w:val="0"/>
          <w:sz w:val="20"/>
          <w:lang w:val="it-IT"/>
        </w:rPr>
      </w:pPr>
    </w:p>
    <w:p w:rsidR="003C2A93" w:rsidRPr="003C2A93" w:rsidRDefault="003C2A93" w:rsidP="003C2A93">
      <w:pPr>
        <w:rPr>
          <w:lang w:val="it-IT"/>
        </w:rPr>
      </w:pPr>
    </w:p>
    <w:p w:rsidR="00526ADF" w:rsidRPr="003C2A93" w:rsidRDefault="00526ADF" w:rsidP="004331A0">
      <w:pPr>
        <w:pStyle w:val="Titolo1"/>
        <w:jc w:val="both"/>
        <w:rPr>
          <w:rFonts w:ascii="Arial" w:hAnsi="Arial" w:cs="Arial"/>
          <w:sz w:val="20"/>
          <w:lang w:val="it-IT"/>
        </w:rPr>
      </w:pPr>
      <w:r w:rsidRPr="003C2A93">
        <w:rPr>
          <w:rFonts w:ascii="Arial" w:hAnsi="Arial" w:cs="Arial"/>
          <w:sz w:val="20"/>
          <w:lang w:val="it-IT"/>
        </w:rPr>
        <w:t xml:space="preserve">Art. 1 </w:t>
      </w:r>
      <w:r w:rsidR="003C2A93">
        <w:rPr>
          <w:rFonts w:ascii="Arial" w:hAnsi="Arial" w:cs="Arial"/>
          <w:sz w:val="20"/>
          <w:lang w:val="it-IT"/>
        </w:rPr>
        <w:t xml:space="preserve">- </w:t>
      </w:r>
      <w:r w:rsidRPr="003C2A93">
        <w:rPr>
          <w:rFonts w:ascii="Arial" w:hAnsi="Arial" w:cs="Arial"/>
          <w:sz w:val="20"/>
          <w:lang w:val="it-IT"/>
        </w:rPr>
        <w:t>Oggetto della garanzia</w:t>
      </w:r>
    </w:p>
    <w:p w:rsidR="00BB2F43" w:rsidRPr="003C2A93" w:rsidRDefault="00BB2F43" w:rsidP="00BB2F43">
      <w:pPr>
        <w:rPr>
          <w:rFonts w:ascii="Arial" w:hAnsi="Arial" w:cs="Arial"/>
          <w:lang w:val="it-IT"/>
        </w:rPr>
      </w:pPr>
    </w:p>
    <w:p w:rsidR="001E63C0" w:rsidRPr="003C2A93" w:rsidRDefault="00526ADF" w:rsidP="001E63C0">
      <w:pPr>
        <w:pStyle w:val="PreformattatoHTML"/>
        <w:jc w:val="both"/>
        <w:rPr>
          <w:rFonts w:ascii="Arial" w:eastAsia="Calibri" w:hAnsi="Arial" w:cs="Arial"/>
          <w:highlight w:val="yellow"/>
          <w:lang w:eastAsia="en-US"/>
        </w:rPr>
      </w:pPr>
      <w:r w:rsidRPr="003C2A93">
        <w:rPr>
          <w:rFonts w:ascii="Arial" w:hAnsi="Arial" w:cs="Arial"/>
          <w:snapToGrid w:val="0"/>
        </w:rPr>
        <w:t>Il Garante si impegna nei confronti della Stazione appaltante</w:t>
      </w:r>
      <w:r w:rsidR="00042909" w:rsidRPr="003C2A93">
        <w:rPr>
          <w:rFonts w:ascii="Arial" w:hAnsi="Arial" w:cs="Arial"/>
          <w:snapToGrid w:val="0"/>
        </w:rPr>
        <w:t>/</w:t>
      </w:r>
      <w:r w:rsidR="00BF4DE8" w:rsidRPr="003C2A93">
        <w:rPr>
          <w:rFonts w:ascii="Arial" w:hAnsi="Arial" w:cs="Arial"/>
          <w:snapToGrid w:val="0"/>
        </w:rPr>
        <w:t>dell’</w:t>
      </w:r>
      <w:r w:rsidR="00042909" w:rsidRPr="003C2A93">
        <w:rPr>
          <w:rFonts w:ascii="Arial" w:hAnsi="Arial" w:cs="Arial"/>
          <w:snapToGrid w:val="0"/>
        </w:rPr>
        <w:t>ente committente</w:t>
      </w:r>
      <w:r w:rsidRPr="003C2A93">
        <w:rPr>
          <w:rFonts w:ascii="Arial" w:hAnsi="Arial" w:cs="Arial"/>
          <w:snapToGrid w:val="0"/>
        </w:rPr>
        <w:t>, nei limiti della somma garantita</w:t>
      </w:r>
      <w:r w:rsidR="00C325AB" w:rsidRPr="003C2A93">
        <w:rPr>
          <w:rFonts w:ascii="Arial" w:hAnsi="Arial" w:cs="Arial"/>
          <w:color w:val="444444"/>
        </w:rPr>
        <w:t xml:space="preserve"> </w:t>
      </w:r>
      <w:r w:rsidR="00C325AB" w:rsidRPr="003C2A93">
        <w:rPr>
          <w:rFonts w:ascii="Arial" w:hAnsi="Arial" w:cs="Arial"/>
        </w:rPr>
        <w:t>indicata nella Scheda Tecnica</w:t>
      </w:r>
      <w:r w:rsidRPr="003C2A93">
        <w:rPr>
          <w:rFonts w:ascii="Arial" w:hAnsi="Arial" w:cs="Arial"/>
          <w:snapToGrid w:val="0"/>
        </w:rPr>
        <w:t xml:space="preserve">, al risarcimento dei danni da questa subiti in conseguenza </w:t>
      </w:r>
      <w:r w:rsidR="00042909" w:rsidRPr="003C2A93">
        <w:rPr>
          <w:rFonts w:ascii="Arial" w:eastAsia="Calibri" w:hAnsi="Arial" w:cs="Arial"/>
          <w:lang w:eastAsia="en-US"/>
        </w:rPr>
        <w:t>del mancato o</w:t>
      </w:r>
      <w:r w:rsidR="00BD6799" w:rsidRPr="003C2A93">
        <w:rPr>
          <w:rFonts w:ascii="Arial" w:eastAsia="Calibri" w:hAnsi="Arial" w:cs="Arial"/>
          <w:lang w:eastAsia="en-US"/>
        </w:rPr>
        <w:t xml:space="preserve"> inesatto adempimento </w:t>
      </w:r>
      <w:r w:rsidRPr="003C2A93">
        <w:rPr>
          <w:rFonts w:ascii="Arial" w:hAnsi="Arial" w:cs="Arial"/>
          <w:snapToGrid w:val="0"/>
        </w:rPr>
        <w:t>da parte del Contraente delle obbligazioni previste nel contratto ed al pagamento delle somme</w:t>
      </w:r>
      <w:r w:rsidR="001E63C0" w:rsidRPr="003C2A93">
        <w:rPr>
          <w:rFonts w:ascii="Arial" w:eastAsia="Calibri" w:hAnsi="Arial" w:cs="Arial"/>
          <w:lang w:eastAsia="en-US"/>
        </w:rPr>
        <w:t xml:space="preserve"> </w:t>
      </w:r>
      <w:r w:rsidR="00042909" w:rsidRPr="003C2A93">
        <w:rPr>
          <w:rFonts w:ascii="Arial" w:eastAsia="Calibri" w:hAnsi="Arial" w:cs="Arial"/>
          <w:lang w:eastAsia="en-US"/>
        </w:rPr>
        <w:t>previste dalle norme</w:t>
      </w:r>
      <w:r w:rsidR="001E63C0" w:rsidRPr="003C2A93">
        <w:rPr>
          <w:rFonts w:ascii="Arial" w:eastAsia="Calibri" w:hAnsi="Arial" w:cs="Arial"/>
          <w:lang w:eastAsia="en-US"/>
        </w:rPr>
        <w:t xml:space="preserve"> sopra richiamate. </w:t>
      </w:r>
    </w:p>
    <w:p w:rsidR="0073465C" w:rsidRPr="003C2A93" w:rsidRDefault="0073465C" w:rsidP="00C325AB">
      <w:pPr>
        <w:pStyle w:val="PreformattatoHTML"/>
        <w:jc w:val="both"/>
        <w:rPr>
          <w:rFonts w:ascii="Arial" w:hAnsi="Arial" w:cs="Arial"/>
          <w:snapToGrid w:val="0"/>
        </w:rPr>
      </w:pPr>
    </w:p>
    <w:p w:rsidR="00172A3A" w:rsidRPr="003C2A93" w:rsidRDefault="00172A3A" w:rsidP="00172A3A">
      <w:pPr>
        <w:pStyle w:val="PreformattatoHTML"/>
        <w:jc w:val="both"/>
        <w:rPr>
          <w:rFonts w:ascii="Arial" w:hAnsi="Arial" w:cs="Arial"/>
          <w:snapToGrid w:val="0"/>
        </w:rPr>
      </w:pPr>
      <w:r w:rsidRPr="003C2A93">
        <w:rPr>
          <w:rFonts w:ascii="Arial" w:hAnsi="Arial" w:cs="Arial"/>
          <w:snapToGrid w:val="0"/>
        </w:rPr>
        <w:t xml:space="preserve">Il Garante, pertanto, si impegna al pagamento di quanto dovuto dall’Affidatario ai sensi dell’art. 103, del </w:t>
      </w:r>
      <w:r w:rsidR="00BF4DE8" w:rsidRPr="003C2A93">
        <w:rPr>
          <w:rFonts w:ascii="Arial" w:hAnsi="Arial" w:cs="Arial"/>
          <w:snapToGrid w:val="0"/>
        </w:rPr>
        <w:t>D.Lgs. n. 50/2016</w:t>
      </w:r>
      <w:r w:rsidRPr="003C2A93">
        <w:rPr>
          <w:rFonts w:ascii="Arial" w:hAnsi="Arial" w:cs="Arial"/>
          <w:snapToGrid w:val="0"/>
        </w:rPr>
        <w:t>, in caso di:</w:t>
      </w:r>
    </w:p>
    <w:p w:rsidR="00172A3A" w:rsidRPr="003C2A93" w:rsidRDefault="00172A3A" w:rsidP="00C325AB">
      <w:pPr>
        <w:pStyle w:val="PreformattatoHTML"/>
        <w:jc w:val="both"/>
        <w:rPr>
          <w:rFonts w:ascii="Arial" w:hAnsi="Arial" w:cs="Arial"/>
          <w:snapToGrid w:val="0"/>
        </w:rPr>
      </w:pPr>
    </w:p>
    <w:p w:rsidR="00C325AB" w:rsidRPr="003C2A93" w:rsidRDefault="00C325AB" w:rsidP="00C325AB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3C2A93">
        <w:rPr>
          <w:rFonts w:ascii="Arial" w:hAnsi="Arial" w:cs="Arial"/>
          <w:lang w:val="it-IT"/>
        </w:rPr>
        <w:t>inadempimento di qualunque obblig</w:t>
      </w:r>
      <w:r w:rsidR="00A03AAF" w:rsidRPr="003C2A93">
        <w:rPr>
          <w:rFonts w:ascii="Arial" w:hAnsi="Arial" w:cs="Arial"/>
          <w:lang w:val="it-IT"/>
        </w:rPr>
        <w:t>azione derivante dal contratto;</w:t>
      </w:r>
    </w:p>
    <w:p w:rsidR="00A03AAF" w:rsidRPr="003C2A93" w:rsidRDefault="00A03AAF" w:rsidP="00A03AAF">
      <w:pPr>
        <w:ind w:left="360"/>
        <w:jc w:val="both"/>
        <w:rPr>
          <w:rFonts w:ascii="Arial" w:hAnsi="Arial" w:cs="Arial"/>
          <w:lang w:val="it-IT"/>
        </w:rPr>
      </w:pPr>
    </w:p>
    <w:p w:rsidR="00C325AB" w:rsidRPr="003C2A93" w:rsidRDefault="00C325AB" w:rsidP="00C325AB">
      <w:pPr>
        <w:numPr>
          <w:ilvl w:val="0"/>
          <w:numId w:val="3"/>
        </w:numPr>
        <w:jc w:val="both"/>
        <w:rPr>
          <w:rFonts w:ascii="Arial" w:hAnsi="Arial" w:cs="Arial"/>
          <w:lang w:val="it-IT"/>
        </w:rPr>
      </w:pPr>
      <w:r w:rsidRPr="003C2A93">
        <w:rPr>
          <w:rFonts w:ascii="Arial" w:hAnsi="Arial" w:cs="Arial"/>
          <w:lang w:val="it-IT"/>
        </w:rPr>
        <w:t>risarcimento dei</w:t>
      </w:r>
      <w:r w:rsidR="00042909" w:rsidRPr="003C2A93">
        <w:rPr>
          <w:rFonts w:ascii="Arial" w:hAnsi="Arial" w:cs="Arial"/>
          <w:lang w:val="it-IT"/>
        </w:rPr>
        <w:t xml:space="preserve"> danni derivanti dall'eventuale</w:t>
      </w:r>
      <w:r w:rsidRPr="003C2A93">
        <w:rPr>
          <w:rFonts w:ascii="Arial" w:hAnsi="Arial" w:cs="Arial"/>
          <w:lang w:val="it-IT"/>
        </w:rPr>
        <w:t xml:space="preserve"> inadempimento delle obbligazioni stesse; </w:t>
      </w:r>
    </w:p>
    <w:p w:rsidR="00C325AB" w:rsidRPr="003C2A93" w:rsidRDefault="00C325AB" w:rsidP="00C325AB">
      <w:pPr>
        <w:pStyle w:val="PreformattatoHTML"/>
        <w:jc w:val="both"/>
        <w:rPr>
          <w:rFonts w:ascii="Arial" w:hAnsi="Arial" w:cs="Arial"/>
          <w:color w:val="444444"/>
        </w:rPr>
      </w:pPr>
    </w:p>
    <w:p w:rsidR="00C325AB" w:rsidRPr="003C2A93" w:rsidRDefault="00042909" w:rsidP="00526ADF">
      <w:pPr>
        <w:numPr>
          <w:ilvl w:val="0"/>
          <w:numId w:val="3"/>
        </w:num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rimborso</w:t>
      </w:r>
      <w:r w:rsidR="00C325AB" w:rsidRPr="003C2A93">
        <w:rPr>
          <w:rFonts w:ascii="Arial" w:hAnsi="Arial" w:cs="Arial"/>
          <w:snapToGrid w:val="0"/>
          <w:lang w:val="it-IT"/>
        </w:rPr>
        <w:t>:</w:t>
      </w:r>
    </w:p>
    <w:p w:rsidR="00C325AB" w:rsidRPr="003C2A93" w:rsidRDefault="00C325AB" w:rsidP="00C325AB">
      <w:pPr>
        <w:jc w:val="both"/>
        <w:rPr>
          <w:rFonts w:ascii="Arial" w:hAnsi="Arial" w:cs="Arial"/>
          <w:snapToGrid w:val="0"/>
          <w:lang w:val="it-IT"/>
        </w:rPr>
      </w:pPr>
    </w:p>
    <w:p w:rsidR="001E63C0" w:rsidRPr="003C2A93" w:rsidRDefault="00C325AB" w:rsidP="00042909">
      <w:pPr>
        <w:numPr>
          <w:ilvl w:val="0"/>
          <w:numId w:val="7"/>
        </w:numPr>
        <w:jc w:val="both"/>
        <w:rPr>
          <w:rFonts w:ascii="Arial" w:hAnsi="Arial" w:cs="Arial"/>
          <w:lang w:val="it-IT"/>
        </w:rPr>
      </w:pPr>
      <w:r w:rsidRPr="003C2A93">
        <w:rPr>
          <w:rFonts w:ascii="Arial" w:hAnsi="Arial" w:cs="Arial"/>
          <w:lang w:val="it-IT"/>
        </w:rPr>
        <w:t>del</w:t>
      </w:r>
      <w:r w:rsidR="00526ADF" w:rsidRPr="003C2A93">
        <w:rPr>
          <w:rFonts w:ascii="Arial" w:hAnsi="Arial" w:cs="Arial"/>
          <w:lang w:val="it-IT"/>
        </w:rPr>
        <w:t>le maggiori somme pagate dalla Stazione appaltante</w:t>
      </w:r>
      <w:r w:rsidR="00042909" w:rsidRPr="003C2A93">
        <w:rPr>
          <w:rFonts w:ascii="Arial" w:hAnsi="Arial" w:cs="Arial"/>
          <w:lang w:val="it-IT"/>
        </w:rPr>
        <w:t>/</w:t>
      </w:r>
      <w:r w:rsidR="00BF4DE8" w:rsidRPr="003C2A93">
        <w:rPr>
          <w:rFonts w:ascii="Arial" w:hAnsi="Arial" w:cs="Arial"/>
          <w:lang w:val="it-IT"/>
        </w:rPr>
        <w:t>dall’</w:t>
      </w:r>
      <w:r w:rsidR="00042909" w:rsidRPr="003C2A93">
        <w:rPr>
          <w:rFonts w:ascii="Arial" w:hAnsi="Arial" w:cs="Arial"/>
          <w:lang w:val="it-IT"/>
        </w:rPr>
        <w:t>ente committente</w:t>
      </w:r>
      <w:r w:rsidR="00526ADF" w:rsidRPr="003C2A93">
        <w:rPr>
          <w:rFonts w:ascii="Arial" w:hAnsi="Arial" w:cs="Arial"/>
          <w:lang w:val="it-IT"/>
        </w:rPr>
        <w:t xml:space="preserve"> rispetto alle risultanze della liquidazione finale</w:t>
      </w:r>
      <w:r w:rsidR="001E63C0" w:rsidRPr="003C2A93">
        <w:rPr>
          <w:rFonts w:ascii="Arial" w:hAnsi="Arial" w:cs="Arial"/>
          <w:lang w:val="it-IT"/>
        </w:rPr>
        <w:t xml:space="preserve">, </w:t>
      </w:r>
      <w:r w:rsidR="00042909" w:rsidRPr="003C2A93">
        <w:rPr>
          <w:rFonts w:ascii="Arial" w:hAnsi="Arial" w:cs="Arial"/>
          <w:lang w:val="it-IT"/>
        </w:rPr>
        <w:t>salva comunque la risarcibilità</w:t>
      </w:r>
      <w:r w:rsidR="001E63C0" w:rsidRPr="003C2A93">
        <w:rPr>
          <w:rFonts w:ascii="Arial" w:hAnsi="Arial" w:cs="Arial"/>
          <w:lang w:val="it-IT"/>
        </w:rPr>
        <w:t xml:space="preserve"> del   maggior   danno   verso</w:t>
      </w:r>
      <w:r w:rsidR="00042909" w:rsidRPr="003C2A93">
        <w:rPr>
          <w:rFonts w:ascii="Arial" w:hAnsi="Arial" w:cs="Arial"/>
          <w:lang w:val="it-IT"/>
        </w:rPr>
        <w:t xml:space="preserve"> l'a</w:t>
      </w:r>
      <w:r w:rsidR="001E63C0" w:rsidRPr="003C2A93">
        <w:rPr>
          <w:rFonts w:ascii="Arial" w:hAnsi="Arial" w:cs="Arial"/>
          <w:lang w:val="it-IT"/>
        </w:rPr>
        <w:t>ppaltatore;</w:t>
      </w:r>
    </w:p>
    <w:p w:rsidR="00042909" w:rsidRPr="003C2A93" w:rsidRDefault="00042909" w:rsidP="00042909">
      <w:pPr>
        <w:numPr>
          <w:ilvl w:val="0"/>
          <w:numId w:val="7"/>
        </w:numPr>
        <w:jc w:val="both"/>
        <w:rPr>
          <w:rFonts w:ascii="Arial" w:hAnsi="Arial" w:cs="Arial"/>
          <w:lang w:val="it-IT"/>
        </w:rPr>
      </w:pPr>
      <w:r w:rsidRPr="003C2A93">
        <w:rPr>
          <w:rFonts w:ascii="Arial" w:eastAsia="Calibri" w:hAnsi="Arial" w:cs="Arial"/>
          <w:lang w:val="it-IT" w:eastAsia="en-US"/>
        </w:rPr>
        <w:t>della eventuale maggiore spesa sostenuta dalla</w:t>
      </w:r>
      <w:r w:rsidR="001E63C0" w:rsidRPr="003C2A93">
        <w:rPr>
          <w:rFonts w:ascii="Arial" w:eastAsia="Calibri" w:hAnsi="Arial" w:cs="Arial"/>
          <w:lang w:val="it-IT" w:eastAsia="en-US"/>
        </w:rPr>
        <w:t xml:space="preserve"> Stazione appaltante</w:t>
      </w:r>
      <w:r w:rsidRPr="003C2A93">
        <w:rPr>
          <w:rFonts w:ascii="Arial" w:eastAsia="Calibri" w:hAnsi="Arial" w:cs="Arial"/>
          <w:lang w:val="it-IT" w:eastAsia="en-US"/>
        </w:rPr>
        <w:t>/</w:t>
      </w:r>
      <w:r w:rsidR="00BF4DE8" w:rsidRPr="003C2A93">
        <w:rPr>
          <w:rFonts w:ascii="Arial" w:eastAsia="Calibri" w:hAnsi="Arial" w:cs="Arial"/>
          <w:lang w:val="it-IT" w:eastAsia="en-US"/>
        </w:rPr>
        <w:t>dall’</w:t>
      </w:r>
      <w:r w:rsidRPr="003C2A93">
        <w:rPr>
          <w:rFonts w:ascii="Arial" w:eastAsia="Calibri" w:hAnsi="Arial" w:cs="Arial"/>
          <w:lang w:val="it-IT" w:eastAsia="en-US"/>
        </w:rPr>
        <w:t>ente committente</w:t>
      </w:r>
      <w:r w:rsidR="001E63C0" w:rsidRPr="003C2A93">
        <w:rPr>
          <w:rFonts w:ascii="Arial" w:eastAsia="Calibri" w:hAnsi="Arial" w:cs="Arial"/>
          <w:lang w:val="it-IT" w:eastAsia="en-US"/>
        </w:rPr>
        <w:t xml:space="preserve"> per il completamento dei lav</w:t>
      </w:r>
      <w:r w:rsidRPr="003C2A93">
        <w:rPr>
          <w:rFonts w:ascii="Arial" w:eastAsia="Calibri" w:hAnsi="Arial" w:cs="Arial"/>
          <w:lang w:val="it-IT" w:eastAsia="en-US"/>
        </w:rPr>
        <w:t>ori/della fornitura/del servizio nel caso di</w:t>
      </w:r>
      <w:r w:rsidR="001E63C0" w:rsidRPr="003C2A93">
        <w:rPr>
          <w:rFonts w:ascii="Arial" w:eastAsia="Calibri" w:hAnsi="Arial" w:cs="Arial"/>
          <w:lang w:val="it-IT" w:eastAsia="en-US"/>
        </w:rPr>
        <w:t xml:space="preserve"> risoluzione del co</w:t>
      </w:r>
      <w:r w:rsidRPr="003C2A93">
        <w:rPr>
          <w:rFonts w:ascii="Arial" w:eastAsia="Calibri" w:hAnsi="Arial" w:cs="Arial"/>
          <w:lang w:val="it-IT" w:eastAsia="en-US"/>
        </w:rPr>
        <w:t>ntratto disposta in danno dell'affidatario;</w:t>
      </w:r>
    </w:p>
    <w:p w:rsidR="00075140" w:rsidRPr="003C2A93" w:rsidRDefault="00042909" w:rsidP="00042909">
      <w:pPr>
        <w:numPr>
          <w:ilvl w:val="0"/>
          <w:numId w:val="7"/>
        </w:num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lang w:val="it-IT"/>
        </w:rPr>
        <w:t>d</w:t>
      </w:r>
      <w:r w:rsidR="001E63C0" w:rsidRPr="003C2A93">
        <w:rPr>
          <w:rFonts w:ascii="Arial" w:hAnsi="Arial" w:cs="Arial"/>
          <w:snapToGrid w:val="0"/>
          <w:lang w:val="it-IT"/>
        </w:rPr>
        <w:t xml:space="preserve">i </w:t>
      </w:r>
      <w:r w:rsidRPr="003C2A93">
        <w:rPr>
          <w:rFonts w:ascii="Arial" w:hAnsi="Arial" w:cs="Arial"/>
          <w:snapToGrid w:val="0"/>
          <w:lang w:val="it-IT"/>
        </w:rPr>
        <w:t>quanto dovuto dall’affidatario</w:t>
      </w:r>
      <w:r w:rsidR="00526ADF" w:rsidRPr="003C2A93">
        <w:rPr>
          <w:rFonts w:ascii="Arial" w:hAnsi="Arial" w:cs="Arial"/>
          <w:snapToGrid w:val="0"/>
          <w:lang w:val="it-IT"/>
        </w:rPr>
        <w:t xml:space="preserve"> per inadempienza e inosservanza di norme e prescrizioni dei contratti collettivi di lavoro, delle leggi e dei regolamenti sulla tutela, protezione, assicurazione, assistenza e sicurezza fisica</w:t>
      </w:r>
      <w:r w:rsidR="00075140" w:rsidRPr="003C2A93">
        <w:rPr>
          <w:rFonts w:ascii="Arial" w:hAnsi="Arial" w:cs="Arial"/>
          <w:snapToGrid w:val="0"/>
          <w:lang w:val="it-IT"/>
        </w:rPr>
        <w:t xml:space="preserve"> dei lavoratori addetti all'esecuzione dell'appalto o comunque presenti in cantiere o nei l</w:t>
      </w:r>
      <w:r w:rsidRPr="003C2A93">
        <w:rPr>
          <w:rFonts w:ascii="Arial" w:hAnsi="Arial" w:cs="Arial"/>
          <w:snapToGrid w:val="0"/>
          <w:lang w:val="it-IT"/>
        </w:rPr>
        <w:t xml:space="preserve">uoghi dove viene prestato il servizio nei casi </w:t>
      </w:r>
      <w:r w:rsidR="00075140" w:rsidRPr="003C2A93">
        <w:rPr>
          <w:rFonts w:ascii="Arial" w:hAnsi="Arial" w:cs="Arial"/>
          <w:snapToGrid w:val="0"/>
          <w:lang w:val="it-IT"/>
        </w:rPr>
        <w:t xml:space="preserve">di appalti di servizi. </w:t>
      </w:r>
    </w:p>
    <w:p w:rsidR="00075140" w:rsidRPr="003C2A93" w:rsidRDefault="00075140" w:rsidP="00075140">
      <w:pPr>
        <w:jc w:val="both"/>
        <w:rPr>
          <w:rFonts w:ascii="Arial" w:hAnsi="Arial" w:cs="Arial"/>
          <w:snapToGrid w:val="0"/>
          <w:lang w:val="it-IT"/>
        </w:rPr>
      </w:pPr>
    </w:p>
    <w:p w:rsidR="00C325AB" w:rsidRPr="003C2A93" w:rsidRDefault="00042909" w:rsidP="00075140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La garanzia è</w:t>
      </w:r>
      <w:r w:rsidR="00C325AB" w:rsidRPr="003C2A93">
        <w:rPr>
          <w:rFonts w:ascii="Arial" w:hAnsi="Arial" w:cs="Arial"/>
          <w:snapToGrid w:val="0"/>
          <w:lang w:val="it-IT"/>
        </w:rPr>
        <w:t xml:space="preserve"> estesa alle obbligazioni accertate a carico del Contraente con sentenza passata in giudicato derivanti dalla violazione degli impegni assunti con la sottoscrizione del protocollo</w:t>
      </w:r>
      <w:r w:rsidR="00AB1C3A" w:rsidRPr="003C2A93">
        <w:rPr>
          <w:rFonts w:ascii="Arial" w:hAnsi="Arial" w:cs="Arial"/>
          <w:snapToGrid w:val="0"/>
          <w:lang w:val="it-IT"/>
        </w:rPr>
        <w:t xml:space="preserve"> patto </w:t>
      </w:r>
      <w:r w:rsidRPr="003C2A93">
        <w:rPr>
          <w:rFonts w:ascii="Arial" w:hAnsi="Arial" w:cs="Arial"/>
          <w:snapToGrid w:val="0"/>
          <w:lang w:val="it-IT"/>
        </w:rPr>
        <w:t>di legalità/patto di integrità</w:t>
      </w:r>
      <w:r w:rsidR="00C325AB" w:rsidRPr="003C2A93">
        <w:rPr>
          <w:rFonts w:ascii="Arial" w:hAnsi="Arial" w:cs="Arial"/>
          <w:snapToGrid w:val="0"/>
          <w:lang w:val="it-IT"/>
        </w:rPr>
        <w:t xml:space="preserve"> eventualmente presente nei documenti di gara.</w:t>
      </w:r>
    </w:p>
    <w:p w:rsidR="00C325AB" w:rsidRPr="003C2A93" w:rsidRDefault="00C325AB" w:rsidP="00C325AB">
      <w:pPr>
        <w:jc w:val="both"/>
        <w:rPr>
          <w:rFonts w:ascii="Arial" w:hAnsi="Arial" w:cs="Arial"/>
          <w:snapToGrid w:val="0"/>
          <w:lang w:val="it-IT" w:eastAsia="it-IT"/>
        </w:rPr>
      </w:pPr>
    </w:p>
    <w:p w:rsidR="00C325AB" w:rsidRPr="003C2A93" w:rsidRDefault="00C325AB" w:rsidP="00C325AB">
      <w:pPr>
        <w:pStyle w:val="PreformattatoHTML"/>
        <w:jc w:val="both"/>
        <w:rPr>
          <w:rFonts w:ascii="Arial" w:hAnsi="Arial" w:cs="Arial"/>
          <w:snapToGrid w:val="0"/>
        </w:rPr>
      </w:pPr>
      <w:r w:rsidRPr="003C2A93">
        <w:rPr>
          <w:rFonts w:ascii="Arial" w:hAnsi="Arial" w:cs="Arial"/>
          <w:snapToGrid w:val="0"/>
        </w:rPr>
        <w:lastRenderedPageBreak/>
        <w:t>L'estensione opera a condizione che la violazione venga comunicata dalla Stazione appaltante</w:t>
      </w:r>
      <w:r w:rsidR="00BF4DE8" w:rsidRPr="003C2A93">
        <w:rPr>
          <w:rFonts w:ascii="Arial" w:hAnsi="Arial" w:cs="Arial"/>
          <w:snapToGrid w:val="0"/>
        </w:rPr>
        <w:t>/dall’ente committente</w:t>
      </w:r>
      <w:r w:rsidRPr="003C2A93">
        <w:rPr>
          <w:rFonts w:ascii="Arial" w:hAnsi="Arial" w:cs="Arial"/>
          <w:snapToGrid w:val="0"/>
        </w:rPr>
        <w:t xml:space="preserve"> al</w:t>
      </w:r>
      <w:r w:rsidR="004331A0" w:rsidRPr="003C2A93">
        <w:rPr>
          <w:rFonts w:ascii="Arial" w:hAnsi="Arial" w:cs="Arial"/>
          <w:snapToGrid w:val="0"/>
        </w:rPr>
        <w:t xml:space="preserve"> Garante nel periodo di validità della garanzia ed è</w:t>
      </w:r>
      <w:r w:rsidRPr="003C2A93">
        <w:rPr>
          <w:rFonts w:ascii="Arial" w:hAnsi="Arial" w:cs="Arial"/>
          <w:snapToGrid w:val="0"/>
        </w:rPr>
        <w:t xml:space="preserve"> limitata ad un importo pari al 10% della somma garantita al momento della suddetta comunicazione. </w:t>
      </w:r>
    </w:p>
    <w:p w:rsidR="00C325AB" w:rsidRPr="003C2A93" w:rsidRDefault="00C325AB" w:rsidP="00C325AB">
      <w:pPr>
        <w:pStyle w:val="PreformattatoHTML"/>
        <w:jc w:val="both"/>
        <w:rPr>
          <w:rFonts w:ascii="Arial" w:hAnsi="Arial" w:cs="Arial"/>
          <w:snapToGrid w:val="0"/>
        </w:rPr>
      </w:pPr>
    </w:p>
    <w:p w:rsidR="00C325AB" w:rsidRPr="003C2A93" w:rsidRDefault="00C325AB" w:rsidP="00C325AB">
      <w:pPr>
        <w:pStyle w:val="PreformattatoHTML"/>
        <w:jc w:val="both"/>
        <w:rPr>
          <w:rFonts w:ascii="Arial" w:hAnsi="Arial" w:cs="Arial"/>
          <w:snapToGrid w:val="0"/>
        </w:rPr>
      </w:pPr>
      <w:r w:rsidRPr="003C2A93">
        <w:rPr>
          <w:rFonts w:ascii="Arial" w:hAnsi="Arial" w:cs="Arial"/>
          <w:snapToGrid w:val="0"/>
        </w:rPr>
        <w:t>Limitatamente a tale caso la garanzia, salvo che non venga nel fratt</w:t>
      </w:r>
      <w:r w:rsidR="007B5FD7" w:rsidRPr="003C2A93">
        <w:rPr>
          <w:rFonts w:ascii="Arial" w:hAnsi="Arial" w:cs="Arial"/>
          <w:snapToGrid w:val="0"/>
        </w:rPr>
        <w:t>empo</w:t>
      </w:r>
      <w:r w:rsidR="00986CE9" w:rsidRPr="003C2A93">
        <w:rPr>
          <w:rFonts w:ascii="Arial" w:hAnsi="Arial" w:cs="Arial"/>
          <w:snapToGrid w:val="0"/>
        </w:rPr>
        <w:t xml:space="preserve"> integralmente </w:t>
      </w:r>
      <w:r w:rsidR="004331A0" w:rsidRPr="003C2A93">
        <w:rPr>
          <w:rFonts w:ascii="Arial" w:hAnsi="Arial" w:cs="Arial"/>
          <w:snapToGrid w:val="0"/>
        </w:rPr>
        <w:t>escussa per altro motivo, sarà</w:t>
      </w:r>
      <w:r w:rsidRPr="003C2A93">
        <w:rPr>
          <w:rFonts w:ascii="Arial" w:hAnsi="Arial" w:cs="Arial"/>
          <w:snapToGrid w:val="0"/>
        </w:rPr>
        <w:t xml:space="preserve"> automaticamente prorogata, p</w:t>
      </w:r>
      <w:r w:rsidR="00986CE9" w:rsidRPr="003C2A93">
        <w:rPr>
          <w:rFonts w:ascii="Arial" w:hAnsi="Arial" w:cs="Arial"/>
          <w:snapToGrid w:val="0"/>
        </w:rPr>
        <w:t xml:space="preserve">er il solo importo anzidetto, oltre </w:t>
      </w:r>
      <w:r w:rsidRPr="003C2A93">
        <w:rPr>
          <w:rFonts w:ascii="Arial" w:hAnsi="Arial" w:cs="Arial"/>
          <w:snapToGrid w:val="0"/>
        </w:rPr>
        <w:t>la durata prevista dall'art. 2 e fino al decorso dei sei mesi successivi al passaggio in giudic</w:t>
      </w:r>
      <w:r w:rsidR="00986CE9" w:rsidRPr="003C2A93">
        <w:rPr>
          <w:rFonts w:ascii="Arial" w:hAnsi="Arial" w:cs="Arial"/>
          <w:snapToGrid w:val="0"/>
        </w:rPr>
        <w:t xml:space="preserve">ato della sentenza che accerti la </w:t>
      </w:r>
      <w:r w:rsidR="004331A0" w:rsidRPr="003C2A93">
        <w:rPr>
          <w:rFonts w:ascii="Arial" w:hAnsi="Arial" w:cs="Arial"/>
          <w:snapToGrid w:val="0"/>
        </w:rPr>
        <w:t xml:space="preserve">violazione, </w:t>
      </w:r>
      <w:r w:rsidR="00207437" w:rsidRPr="003C2A93">
        <w:rPr>
          <w:rFonts w:ascii="Arial" w:hAnsi="Arial" w:cs="Arial"/>
          <w:snapToGrid w:val="0"/>
        </w:rPr>
        <w:t>dopodiché</w:t>
      </w:r>
      <w:r w:rsidR="004331A0" w:rsidRPr="003C2A93">
        <w:rPr>
          <w:rFonts w:ascii="Arial" w:hAnsi="Arial" w:cs="Arial"/>
          <w:snapToGrid w:val="0"/>
        </w:rPr>
        <w:t xml:space="preserve"> perderà</w:t>
      </w:r>
      <w:r w:rsidRPr="003C2A93">
        <w:rPr>
          <w:rFonts w:ascii="Arial" w:hAnsi="Arial" w:cs="Arial"/>
          <w:snapToGrid w:val="0"/>
        </w:rPr>
        <w:t xml:space="preserve"> automaticamente efficacia. </w:t>
      </w:r>
    </w:p>
    <w:p w:rsidR="004B6C77" w:rsidRPr="003C2A93" w:rsidRDefault="004B6C77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4B6C77" w:rsidRPr="003C2A93" w:rsidRDefault="004B6C77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526ADF" w:rsidRPr="003C2A93" w:rsidRDefault="00526ADF" w:rsidP="00526ADF">
      <w:pPr>
        <w:jc w:val="both"/>
        <w:rPr>
          <w:rFonts w:ascii="Arial" w:hAnsi="Arial" w:cs="Arial"/>
          <w:b/>
          <w:snapToGrid w:val="0"/>
          <w:lang w:val="it-IT"/>
        </w:rPr>
      </w:pPr>
      <w:r w:rsidRPr="003C2A93">
        <w:rPr>
          <w:rFonts w:ascii="Arial" w:hAnsi="Arial" w:cs="Arial"/>
          <w:b/>
          <w:snapToGrid w:val="0"/>
          <w:lang w:val="it-IT"/>
        </w:rPr>
        <w:t xml:space="preserve">Art. 2 – </w:t>
      </w:r>
      <w:r w:rsidR="00BB2F43" w:rsidRPr="003C2A93">
        <w:rPr>
          <w:rFonts w:ascii="Arial" w:hAnsi="Arial" w:cs="Arial"/>
          <w:b/>
          <w:snapToGrid w:val="0"/>
          <w:lang w:val="it-IT"/>
        </w:rPr>
        <w:t>Efficacia e d</w:t>
      </w:r>
      <w:r w:rsidRPr="003C2A93">
        <w:rPr>
          <w:rFonts w:ascii="Arial" w:hAnsi="Arial" w:cs="Arial"/>
          <w:b/>
          <w:snapToGrid w:val="0"/>
          <w:lang w:val="it-IT"/>
        </w:rPr>
        <w:t>urata della garanzia</w:t>
      </w:r>
    </w:p>
    <w:p w:rsidR="00855BE6" w:rsidRPr="003C2A93" w:rsidRDefault="00855BE6" w:rsidP="00526ADF">
      <w:pPr>
        <w:jc w:val="both"/>
        <w:rPr>
          <w:rFonts w:ascii="Arial" w:hAnsi="Arial" w:cs="Arial"/>
          <w:b/>
          <w:snapToGrid w:val="0"/>
          <w:lang w:val="it-IT"/>
        </w:rPr>
      </w:pPr>
    </w:p>
    <w:p w:rsidR="00855BE6" w:rsidRPr="003C2A93" w:rsidRDefault="00855BE6" w:rsidP="00855BE6">
      <w:pPr>
        <w:jc w:val="both"/>
        <w:rPr>
          <w:rFonts w:ascii="Arial" w:hAnsi="Arial" w:cs="Arial"/>
          <w:bCs/>
          <w:snapToGrid w:val="0"/>
          <w:lang w:val="it-IT"/>
        </w:rPr>
      </w:pPr>
      <w:r w:rsidRPr="003C2A93">
        <w:rPr>
          <w:rFonts w:ascii="Arial" w:hAnsi="Arial" w:cs="Arial"/>
          <w:bCs/>
          <w:snapToGrid w:val="0"/>
          <w:lang w:val="it-IT"/>
        </w:rPr>
        <w:t>L'efficacia della garanzia:</w:t>
      </w:r>
    </w:p>
    <w:p w:rsidR="003C2A93" w:rsidRDefault="00855BE6" w:rsidP="00855BE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snapToGrid w:val="0"/>
          <w:lang w:val="it-IT"/>
        </w:rPr>
      </w:pPr>
      <w:r w:rsidRPr="003C2A93">
        <w:rPr>
          <w:rFonts w:ascii="Arial" w:hAnsi="Arial" w:cs="Arial"/>
          <w:bCs/>
          <w:snapToGrid w:val="0"/>
          <w:lang w:val="it-IT"/>
        </w:rPr>
        <w:t>decorre dalla data di stipula del contratto;</w:t>
      </w:r>
    </w:p>
    <w:p w:rsidR="00855BE6" w:rsidRPr="003C2A93" w:rsidRDefault="00855BE6" w:rsidP="00855BE6">
      <w:pPr>
        <w:numPr>
          <w:ilvl w:val="0"/>
          <w:numId w:val="8"/>
        </w:numPr>
        <w:ind w:left="284" w:hanging="284"/>
        <w:jc w:val="both"/>
        <w:rPr>
          <w:rFonts w:ascii="Arial" w:hAnsi="Arial" w:cs="Arial"/>
          <w:bCs/>
          <w:snapToGrid w:val="0"/>
          <w:lang w:val="it-IT"/>
        </w:rPr>
      </w:pPr>
      <w:r w:rsidRPr="003C2A93">
        <w:rPr>
          <w:rFonts w:ascii="Arial" w:hAnsi="Arial" w:cs="Arial"/>
          <w:bCs/>
          <w:snapToGrid w:val="0"/>
          <w:lang w:val="it-IT"/>
        </w:rPr>
        <w:t>cessa alla data di emissione del certificato di collaudo o del certificato di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regolare esecuzione, ovvero, alla data di emissione del certificato di verifica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di conformità o dell'attestazione di regolare esecuzione delle prestazioni e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comunque decorsi 12 mesi dalla data di ultimazione dei lavori, dei servizi o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delle forniture risultante dal relativo certificato, allorché si estingue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 xml:space="preserve">automaticamente ad ogni effetto (art. 103, commi 1 e 5, del </w:t>
      </w:r>
      <w:r w:rsidR="00BF4DE8" w:rsidRPr="003C2A93">
        <w:rPr>
          <w:rFonts w:ascii="Arial" w:hAnsi="Arial" w:cs="Arial"/>
          <w:bCs/>
          <w:snapToGrid w:val="0"/>
          <w:lang w:val="it-IT"/>
        </w:rPr>
        <w:t>D.Lgs. n. 50/2016</w:t>
      </w:r>
      <w:r w:rsidRPr="003C2A93">
        <w:rPr>
          <w:rFonts w:ascii="Arial" w:hAnsi="Arial" w:cs="Arial"/>
          <w:bCs/>
          <w:snapToGrid w:val="0"/>
          <w:lang w:val="it-IT"/>
        </w:rPr>
        <w:t>), salvo</w:t>
      </w:r>
      <w:r w:rsid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quanto indicato nell’ultimo comma dell’art. 1.</w:t>
      </w:r>
    </w:p>
    <w:p w:rsidR="004331A0" w:rsidRPr="003C2A93" w:rsidRDefault="004331A0" w:rsidP="00855BE6">
      <w:pPr>
        <w:jc w:val="both"/>
        <w:rPr>
          <w:rFonts w:ascii="Arial" w:hAnsi="Arial" w:cs="Arial"/>
          <w:bCs/>
          <w:snapToGrid w:val="0"/>
          <w:lang w:val="it-IT"/>
        </w:rPr>
      </w:pPr>
    </w:p>
    <w:p w:rsidR="00855BE6" w:rsidRPr="003C2A93" w:rsidRDefault="00855BE6" w:rsidP="00855BE6">
      <w:pPr>
        <w:jc w:val="both"/>
        <w:rPr>
          <w:rFonts w:ascii="Arial" w:hAnsi="Arial" w:cs="Arial"/>
          <w:bCs/>
          <w:snapToGrid w:val="0"/>
          <w:lang w:val="it-IT"/>
        </w:rPr>
      </w:pPr>
      <w:r w:rsidRPr="003C2A93">
        <w:rPr>
          <w:rFonts w:ascii="Arial" w:hAnsi="Arial" w:cs="Arial"/>
          <w:bCs/>
          <w:snapToGrid w:val="0"/>
          <w:lang w:val="it-IT"/>
        </w:rPr>
        <w:t>La liberazione anticipata della garanzia rispetto alle scadenze di cui alla lettera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b) del comma precedente può aver luogo solo con la restituzione al Garante, da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parte della Stazione appaltante</w:t>
      </w:r>
      <w:r w:rsidR="00AB1C3A" w:rsidRPr="003C2A93">
        <w:rPr>
          <w:rFonts w:ascii="Arial" w:hAnsi="Arial" w:cs="Arial"/>
          <w:bCs/>
          <w:snapToGrid w:val="0"/>
          <w:lang w:val="it-IT"/>
        </w:rPr>
        <w:t>/</w:t>
      </w:r>
      <w:r w:rsidR="00BF4DE8" w:rsidRPr="003C2A93">
        <w:rPr>
          <w:rFonts w:ascii="Arial" w:hAnsi="Arial" w:cs="Arial"/>
          <w:bCs/>
          <w:snapToGrid w:val="0"/>
          <w:lang w:val="it-IT"/>
        </w:rPr>
        <w:t>dell’</w:t>
      </w:r>
      <w:r w:rsidR="00AB1C3A" w:rsidRPr="003C2A93">
        <w:rPr>
          <w:rFonts w:ascii="Arial" w:hAnsi="Arial" w:cs="Arial"/>
          <w:bCs/>
          <w:snapToGrid w:val="0"/>
          <w:lang w:val="it-IT"/>
        </w:rPr>
        <w:t>ente committente</w:t>
      </w:r>
      <w:r w:rsidRPr="003C2A93">
        <w:rPr>
          <w:rFonts w:ascii="Arial" w:hAnsi="Arial" w:cs="Arial"/>
          <w:bCs/>
          <w:snapToGrid w:val="0"/>
          <w:lang w:val="it-IT"/>
        </w:rPr>
        <w:t>, dell’originale della garanzia stessa con</w:t>
      </w:r>
      <w:r w:rsidR="00D77945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annotazione di svincolo o con comunicazione scritta della Stazione appaltante</w:t>
      </w:r>
      <w:r w:rsidR="00AB1C3A" w:rsidRPr="003C2A93">
        <w:rPr>
          <w:rFonts w:ascii="Arial" w:hAnsi="Arial" w:cs="Arial"/>
          <w:bCs/>
          <w:snapToGrid w:val="0"/>
          <w:lang w:val="it-IT"/>
        </w:rPr>
        <w:t>/</w:t>
      </w:r>
      <w:r w:rsidR="00BF4DE8" w:rsidRPr="003C2A93">
        <w:rPr>
          <w:rFonts w:ascii="Arial" w:hAnsi="Arial" w:cs="Arial"/>
          <w:bCs/>
          <w:snapToGrid w:val="0"/>
          <w:lang w:val="it-IT"/>
        </w:rPr>
        <w:t>dell’</w:t>
      </w:r>
      <w:r w:rsidR="004B6C77" w:rsidRPr="003C2A93">
        <w:rPr>
          <w:rFonts w:ascii="Arial" w:hAnsi="Arial" w:cs="Arial"/>
          <w:bCs/>
          <w:snapToGrid w:val="0"/>
          <w:lang w:val="it-IT"/>
        </w:rPr>
        <w:t xml:space="preserve">ente committente </w:t>
      </w:r>
      <w:r w:rsidRPr="003C2A93">
        <w:rPr>
          <w:rFonts w:ascii="Arial" w:hAnsi="Arial" w:cs="Arial"/>
          <w:bCs/>
          <w:snapToGrid w:val="0"/>
          <w:lang w:val="it-IT"/>
        </w:rPr>
        <w:t>al Garante.</w:t>
      </w:r>
    </w:p>
    <w:p w:rsidR="004331A0" w:rsidRPr="003C2A93" w:rsidRDefault="004331A0" w:rsidP="00855BE6">
      <w:pPr>
        <w:jc w:val="both"/>
        <w:rPr>
          <w:rFonts w:ascii="Arial" w:hAnsi="Arial" w:cs="Arial"/>
          <w:bCs/>
          <w:snapToGrid w:val="0"/>
          <w:lang w:val="it-IT"/>
        </w:rPr>
      </w:pPr>
    </w:p>
    <w:p w:rsidR="00855BE6" w:rsidRPr="003C2A93" w:rsidRDefault="00855BE6" w:rsidP="00855BE6">
      <w:pPr>
        <w:jc w:val="both"/>
        <w:rPr>
          <w:rFonts w:ascii="Arial" w:hAnsi="Arial" w:cs="Arial"/>
          <w:bCs/>
          <w:snapToGrid w:val="0"/>
          <w:lang w:val="it-IT"/>
        </w:rPr>
      </w:pPr>
      <w:r w:rsidRPr="003C2A93">
        <w:rPr>
          <w:rFonts w:ascii="Arial" w:hAnsi="Arial" w:cs="Arial"/>
          <w:bCs/>
          <w:snapToGrid w:val="0"/>
          <w:lang w:val="it-IT"/>
        </w:rPr>
        <w:t>Il mancato pagamento del premio/commissione non può essere opposto alla</w:t>
      </w:r>
      <w:r w:rsidR="00AB1C3A" w:rsidRPr="003C2A93">
        <w:rPr>
          <w:rFonts w:ascii="Arial" w:hAnsi="Arial" w:cs="Arial"/>
          <w:bCs/>
          <w:snapToGrid w:val="0"/>
          <w:lang w:val="it-IT"/>
        </w:rPr>
        <w:t xml:space="preserve"> </w:t>
      </w:r>
      <w:r w:rsidRPr="003C2A93">
        <w:rPr>
          <w:rFonts w:ascii="Arial" w:hAnsi="Arial" w:cs="Arial"/>
          <w:bCs/>
          <w:snapToGrid w:val="0"/>
          <w:lang w:val="it-IT"/>
        </w:rPr>
        <w:t>Stazione appaltante</w:t>
      </w:r>
      <w:r w:rsidR="00AB1C3A" w:rsidRPr="003C2A93">
        <w:rPr>
          <w:rFonts w:ascii="Arial" w:hAnsi="Arial" w:cs="Arial"/>
          <w:bCs/>
          <w:snapToGrid w:val="0"/>
          <w:lang w:val="it-IT"/>
        </w:rPr>
        <w:t>/</w:t>
      </w:r>
      <w:r w:rsidR="00BF4DE8" w:rsidRPr="003C2A93">
        <w:rPr>
          <w:rFonts w:ascii="Arial" w:hAnsi="Arial" w:cs="Arial"/>
          <w:bCs/>
          <w:snapToGrid w:val="0"/>
          <w:lang w:val="it-IT"/>
        </w:rPr>
        <w:t>all’</w:t>
      </w:r>
      <w:r w:rsidR="00AB1C3A" w:rsidRPr="003C2A93">
        <w:rPr>
          <w:rFonts w:ascii="Arial" w:hAnsi="Arial" w:cs="Arial"/>
          <w:bCs/>
          <w:snapToGrid w:val="0"/>
          <w:lang w:val="it-IT"/>
        </w:rPr>
        <w:t>ente committente.</w:t>
      </w:r>
    </w:p>
    <w:p w:rsidR="00855BE6" w:rsidRDefault="00855BE6" w:rsidP="00855BE6">
      <w:pPr>
        <w:jc w:val="both"/>
        <w:rPr>
          <w:rFonts w:ascii="Arial" w:hAnsi="Arial" w:cs="Arial"/>
          <w:bCs/>
          <w:snapToGrid w:val="0"/>
          <w:lang w:val="it-IT"/>
        </w:rPr>
      </w:pPr>
    </w:p>
    <w:p w:rsidR="003C2A93" w:rsidRPr="003C2A93" w:rsidRDefault="003C2A93" w:rsidP="00855BE6">
      <w:pPr>
        <w:jc w:val="both"/>
        <w:rPr>
          <w:rFonts w:ascii="Arial" w:hAnsi="Arial" w:cs="Arial"/>
          <w:bCs/>
          <w:snapToGrid w:val="0"/>
          <w:lang w:val="it-IT"/>
        </w:rPr>
      </w:pPr>
    </w:p>
    <w:p w:rsidR="00526ADF" w:rsidRPr="003C2A93" w:rsidRDefault="00526ADF" w:rsidP="00526ADF">
      <w:pPr>
        <w:pStyle w:val="Titolo1"/>
        <w:jc w:val="both"/>
        <w:rPr>
          <w:rFonts w:ascii="Arial" w:hAnsi="Arial" w:cs="Arial"/>
          <w:sz w:val="20"/>
          <w:lang w:val="it-IT"/>
        </w:rPr>
      </w:pPr>
      <w:r w:rsidRPr="003C2A93">
        <w:rPr>
          <w:rFonts w:ascii="Arial" w:hAnsi="Arial" w:cs="Arial"/>
          <w:sz w:val="20"/>
          <w:lang w:val="it-IT"/>
        </w:rPr>
        <w:t>Art. 3 – Somma garantita</w:t>
      </w:r>
    </w:p>
    <w:p w:rsidR="00BB2F43" w:rsidRPr="003C2A93" w:rsidRDefault="00BB2F43" w:rsidP="00BB2F43">
      <w:pPr>
        <w:rPr>
          <w:rFonts w:ascii="Arial" w:hAnsi="Arial" w:cs="Arial"/>
          <w:lang w:val="it-IT"/>
        </w:rPr>
      </w:pPr>
    </w:p>
    <w:p w:rsidR="002010B3" w:rsidRPr="003C2A93" w:rsidRDefault="00526ADF" w:rsidP="002010B3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La somma garantita dalla presente fideiussione</w:t>
      </w:r>
      <w:r w:rsidR="004462F1" w:rsidRPr="003C2A93">
        <w:rPr>
          <w:rFonts w:ascii="Arial" w:hAnsi="Arial" w:cs="Arial"/>
          <w:snapToGrid w:val="0"/>
          <w:lang w:val="it-IT"/>
        </w:rPr>
        <w:t xml:space="preserve"> è </w:t>
      </w:r>
      <w:r w:rsidR="00E10D9D" w:rsidRPr="003C2A93">
        <w:rPr>
          <w:rFonts w:ascii="Arial" w:hAnsi="Arial" w:cs="Arial"/>
          <w:snapToGrid w:val="0"/>
          <w:lang w:val="it-IT"/>
        </w:rPr>
        <w:t>riportata nella Scheda Tecnica</w:t>
      </w:r>
      <w:r w:rsidR="004331A0" w:rsidRPr="003C2A93">
        <w:rPr>
          <w:rFonts w:ascii="Arial" w:hAnsi="Arial" w:cs="Arial"/>
          <w:snapToGrid w:val="0"/>
          <w:lang w:val="it-IT"/>
        </w:rPr>
        <w:t xml:space="preserve"> allegata.</w:t>
      </w:r>
    </w:p>
    <w:p w:rsidR="005A7D54" w:rsidRPr="003C2A93" w:rsidRDefault="005A7D54" w:rsidP="002010B3">
      <w:pPr>
        <w:jc w:val="both"/>
        <w:rPr>
          <w:rFonts w:ascii="Arial" w:hAnsi="Arial" w:cs="Arial"/>
          <w:strike/>
          <w:snapToGrid w:val="0"/>
          <w:lang w:val="it-IT"/>
        </w:rPr>
      </w:pPr>
    </w:p>
    <w:p w:rsidR="00CD4FD2" w:rsidRPr="003C2A93" w:rsidRDefault="00CD4FD2" w:rsidP="005A7D54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La cauzione è pari al 2% dell’importo contrattuale (salvo diverso importo tra l’1% e il 4% come indicato nella legge di gara), così come previsto dall’art. 36, comma 1 della L.P. n. 16/2015 e ss.mm.ii.</w:t>
      </w:r>
    </w:p>
    <w:p w:rsidR="00CD4FD2" w:rsidRPr="003C2A93" w:rsidRDefault="00CD4FD2" w:rsidP="005A7D54">
      <w:pPr>
        <w:jc w:val="both"/>
        <w:rPr>
          <w:rFonts w:ascii="Arial" w:hAnsi="Arial" w:cs="Arial"/>
          <w:snapToGrid w:val="0"/>
          <w:lang w:val="it-IT"/>
        </w:rPr>
      </w:pPr>
    </w:p>
    <w:p w:rsidR="00130B1C" w:rsidRPr="003C2A93" w:rsidRDefault="0066732E" w:rsidP="00130B1C">
      <w:pPr>
        <w:jc w:val="both"/>
        <w:rPr>
          <w:rFonts w:ascii="Arial" w:hAnsi="Arial" w:cs="Arial"/>
          <w:lang w:val="it-IT"/>
        </w:rPr>
      </w:pPr>
      <w:r w:rsidRPr="003C2A93">
        <w:rPr>
          <w:rFonts w:ascii="Arial" w:hAnsi="Arial" w:cs="Arial"/>
          <w:lang w:val="it-IT"/>
        </w:rPr>
        <w:t>Per la cauzione definitiva non si applicano i benefici d</w:t>
      </w:r>
      <w:r w:rsidR="00130B1C" w:rsidRPr="003C2A93">
        <w:rPr>
          <w:rFonts w:ascii="Arial" w:hAnsi="Arial" w:cs="Arial"/>
          <w:lang w:val="it-IT"/>
        </w:rPr>
        <w:t>ella riduzione di cui all’art 93</w:t>
      </w:r>
      <w:r w:rsidRPr="003C2A93">
        <w:rPr>
          <w:rFonts w:ascii="Arial" w:hAnsi="Arial" w:cs="Arial"/>
          <w:lang w:val="it-IT"/>
        </w:rPr>
        <w:t>, comma 7, D.Lgs. n.</w:t>
      </w:r>
      <w:r w:rsidR="00130B1C" w:rsidRPr="003C2A93">
        <w:rPr>
          <w:rFonts w:ascii="Arial" w:hAnsi="Arial" w:cs="Arial"/>
          <w:lang w:val="it-IT"/>
        </w:rPr>
        <w:t xml:space="preserve"> 50/2016 e ss.mm.ii.</w:t>
      </w:r>
    </w:p>
    <w:p w:rsidR="002010B3" w:rsidRPr="003C2A93" w:rsidRDefault="002010B3" w:rsidP="00130B1C">
      <w:pPr>
        <w:jc w:val="both"/>
        <w:rPr>
          <w:rFonts w:ascii="Arial" w:hAnsi="Arial" w:cs="Arial"/>
          <w:snapToGrid w:val="0"/>
          <w:lang w:val="it-IT"/>
        </w:rPr>
      </w:pPr>
    </w:p>
    <w:p w:rsidR="00BB2F43" w:rsidRPr="003C2A93" w:rsidRDefault="00BB2F43" w:rsidP="00BB2F43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 xml:space="preserve">La garanzia è progressivamente svincolata in via automatica in conformità a quanto previsto dall’art. 103 comma 5 del D. Lgs. </w:t>
      </w:r>
      <w:r w:rsidRPr="003C2A93">
        <w:rPr>
          <w:rFonts w:ascii="Arial" w:hAnsi="Arial" w:cs="Arial"/>
          <w:lang w:val="it-IT"/>
        </w:rPr>
        <w:t>n. 50/2016 e ss.mm.ii.</w:t>
      </w:r>
    </w:p>
    <w:p w:rsidR="009C1A58" w:rsidRDefault="009C1A58" w:rsidP="00526ADF">
      <w:pPr>
        <w:pStyle w:val="Titolo1"/>
        <w:jc w:val="both"/>
        <w:rPr>
          <w:rFonts w:ascii="Arial" w:hAnsi="Arial" w:cs="Arial"/>
          <w:sz w:val="20"/>
          <w:lang w:val="it-IT"/>
        </w:rPr>
      </w:pPr>
    </w:p>
    <w:p w:rsidR="003C2A93" w:rsidRPr="003C2A93" w:rsidRDefault="003C2A93" w:rsidP="003C2A93">
      <w:pPr>
        <w:rPr>
          <w:lang w:val="it-IT"/>
        </w:rPr>
      </w:pPr>
    </w:p>
    <w:p w:rsidR="00526ADF" w:rsidRPr="003C2A93" w:rsidRDefault="00526ADF" w:rsidP="00526ADF">
      <w:pPr>
        <w:pStyle w:val="Titolo1"/>
        <w:jc w:val="both"/>
        <w:rPr>
          <w:rFonts w:ascii="Arial" w:hAnsi="Arial" w:cs="Arial"/>
          <w:sz w:val="20"/>
          <w:lang w:val="it-IT"/>
        </w:rPr>
      </w:pPr>
      <w:r w:rsidRPr="003C2A93">
        <w:rPr>
          <w:rFonts w:ascii="Arial" w:hAnsi="Arial" w:cs="Arial"/>
          <w:sz w:val="20"/>
          <w:lang w:val="it-IT"/>
        </w:rPr>
        <w:t>Art. 4 – Escussione della garanzia</w:t>
      </w:r>
    </w:p>
    <w:p w:rsidR="00BB2F43" w:rsidRPr="003C2A93" w:rsidRDefault="00BB2F43" w:rsidP="00BB2F43">
      <w:pPr>
        <w:rPr>
          <w:rFonts w:ascii="Arial" w:hAnsi="Arial" w:cs="Arial"/>
          <w:lang w:val="it-IT"/>
        </w:rPr>
      </w:pPr>
    </w:p>
    <w:p w:rsidR="004331A0" w:rsidRPr="003C2A93" w:rsidRDefault="00526ADF" w:rsidP="00075140">
      <w:pPr>
        <w:jc w:val="both"/>
        <w:rPr>
          <w:rFonts w:ascii="Arial" w:hAnsi="Arial" w:cs="Arial"/>
          <w:snapToGrid w:val="0"/>
          <w:highlight w:val="yellow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 xml:space="preserve">Il Garante </w:t>
      </w:r>
      <w:r w:rsidR="00075140" w:rsidRPr="003C2A93">
        <w:rPr>
          <w:rFonts w:ascii="Arial" w:hAnsi="Arial" w:cs="Arial"/>
          <w:snapToGrid w:val="0"/>
          <w:lang w:val="it-IT"/>
        </w:rPr>
        <w:t>cor</w:t>
      </w:r>
      <w:r w:rsidR="009C1A58" w:rsidRPr="003C2A93">
        <w:rPr>
          <w:rFonts w:ascii="Arial" w:hAnsi="Arial" w:cs="Arial"/>
          <w:snapToGrid w:val="0"/>
          <w:lang w:val="it-IT"/>
        </w:rPr>
        <w:t xml:space="preserve">risponderà </w:t>
      </w:r>
      <w:r w:rsidR="00075140" w:rsidRPr="003C2A93">
        <w:rPr>
          <w:rFonts w:ascii="Arial" w:hAnsi="Arial" w:cs="Arial"/>
          <w:snapToGrid w:val="0"/>
          <w:lang w:val="it-IT"/>
        </w:rPr>
        <w:t>l’importo</w:t>
      </w:r>
      <w:r w:rsidRPr="003C2A93">
        <w:rPr>
          <w:rFonts w:ascii="Arial" w:hAnsi="Arial" w:cs="Arial"/>
          <w:snapToGrid w:val="0"/>
          <w:lang w:val="it-IT"/>
        </w:rPr>
        <w:t xml:space="preserve"> dovuto dal Contraente</w:t>
      </w:r>
      <w:r w:rsidR="009440A9" w:rsidRPr="003C2A93">
        <w:rPr>
          <w:rFonts w:ascii="Arial" w:hAnsi="Arial" w:cs="Arial"/>
          <w:snapToGrid w:val="0"/>
          <w:lang w:val="it-IT"/>
        </w:rPr>
        <w:t xml:space="preserve">, nei limiti della somma garantita alla data dell'escussione, </w:t>
      </w:r>
      <w:r w:rsidRPr="003C2A93">
        <w:rPr>
          <w:rFonts w:ascii="Arial" w:hAnsi="Arial" w:cs="Arial"/>
          <w:snapToGrid w:val="0"/>
          <w:lang w:val="it-IT"/>
        </w:rPr>
        <w:t>entro il termine di 15 giorni dal ricevimento della semplice richiesta scritta della Stazione appaltante</w:t>
      </w:r>
      <w:r w:rsidR="009C1A58" w:rsidRPr="003C2A93">
        <w:rPr>
          <w:rFonts w:ascii="Arial" w:hAnsi="Arial" w:cs="Arial"/>
          <w:snapToGrid w:val="0"/>
          <w:lang w:val="it-IT"/>
        </w:rPr>
        <w:t>/</w:t>
      </w:r>
      <w:r w:rsidR="00BF4DE8" w:rsidRPr="003C2A93">
        <w:rPr>
          <w:rFonts w:ascii="Arial" w:hAnsi="Arial" w:cs="Arial"/>
          <w:snapToGrid w:val="0"/>
          <w:lang w:val="it-IT"/>
        </w:rPr>
        <w:t>dell’</w:t>
      </w:r>
      <w:r w:rsidR="009C1A58" w:rsidRPr="003C2A93">
        <w:rPr>
          <w:rFonts w:ascii="Arial" w:hAnsi="Arial" w:cs="Arial"/>
          <w:snapToGrid w:val="0"/>
          <w:lang w:val="it-IT"/>
        </w:rPr>
        <w:t>ente committente</w:t>
      </w:r>
      <w:r w:rsidRPr="003C2A93">
        <w:rPr>
          <w:rFonts w:ascii="Arial" w:hAnsi="Arial" w:cs="Arial"/>
          <w:snapToGrid w:val="0"/>
          <w:lang w:val="it-IT"/>
        </w:rPr>
        <w:t>,</w:t>
      </w:r>
      <w:r w:rsidR="00855BE6" w:rsidRPr="003C2A93">
        <w:rPr>
          <w:rFonts w:ascii="Arial" w:hAnsi="Arial" w:cs="Arial"/>
          <w:snapToGrid w:val="0"/>
          <w:lang w:val="it-IT"/>
        </w:rPr>
        <w:t xml:space="preserve"> inviata per conoscenza anche al Contraente -</w:t>
      </w:r>
      <w:r w:rsidRPr="003C2A93">
        <w:rPr>
          <w:rFonts w:ascii="Arial" w:hAnsi="Arial" w:cs="Arial"/>
          <w:snapToGrid w:val="0"/>
          <w:lang w:val="it-IT"/>
        </w:rPr>
        <w:t xml:space="preserve"> </w:t>
      </w:r>
      <w:r w:rsidR="004331A0" w:rsidRPr="003C2A93">
        <w:rPr>
          <w:rFonts w:ascii="Arial" w:hAnsi="Arial" w:cs="Arial"/>
          <w:snapToGrid w:val="0"/>
          <w:lang w:val="it-IT"/>
        </w:rPr>
        <w:t>recante</w:t>
      </w:r>
      <w:r w:rsidR="00075140" w:rsidRPr="003C2A93">
        <w:rPr>
          <w:rFonts w:ascii="Arial" w:hAnsi="Arial" w:cs="Arial"/>
          <w:snapToGrid w:val="0"/>
          <w:lang w:val="it-IT"/>
        </w:rPr>
        <w:t xml:space="preserve"> l'indicazi</w:t>
      </w:r>
      <w:r w:rsidR="004331A0" w:rsidRPr="003C2A93">
        <w:rPr>
          <w:rFonts w:ascii="Arial" w:hAnsi="Arial" w:cs="Arial"/>
          <w:snapToGrid w:val="0"/>
          <w:lang w:val="it-IT"/>
        </w:rPr>
        <w:t xml:space="preserve">one degli importi dovuti </w:t>
      </w:r>
      <w:r w:rsidR="00075140" w:rsidRPr="003C2A93">
        <w:rPr>
          <w:rFonts w:ascii="Arial" w:hAnsi="Arial" w:cs="Arial"/>
          <w:snapToGrid w:val="0"/>
          <w:lang w:val="it-IT"/>
        </w:rPr>
        <w:t>dal Contraente</w:t>
      </w:r>
      <w:r w:rsidR="00C630F8">
        <w:rPr>
          <w:rFonts w:ascii="Arial" w:hAnsi="Arial" w:cs="Arial"/>
          <w:snapToGrid w:val="0"/>
          <w:lang w:val="it-IT"/>
        </w:rPr>
        <w:t>.</w:t>
      </w:r>
      <w:bookmarkStart w:id="0" w:name="_GoBack"/>
      <w:bookmarkEnd w:id="0"/>
      <w:r w:rsidR="00075140" w:rsidRPr="003C2A93">
        <w:rPr>
          <w:rFonts w:ascii="Arial" w:hAnsi="Arial" w:cs="Arial"/>
          <w:snapToGrid w:val="0"/>
          <w:lang w:val="it-IT"/>
        </w:rPr>
        <w:t xml:space="preserve"> </w:t>
      </w:r>
    </w:p>
    <w:p w:rsidR="004331A0" w:rsidRPr="003C2A93" w:rsidRDefault="004331A0" w:rsidP="00075140">
      <w:pPr>
        <w:jc w:val="both"/>
        <w:rPr>
          <w:rFonts w:ascii="Arial" w:hAnsi="Arial" w:cs="Arial"/>
          <w:snapToGrid w:val="0"/>
          <w:highlight w:val="yellow"/>
          <w:lang w:val="it-IT"/>
        </w:rPr>
      </w:pPr>
    </w:p>
    <w:p w:rsidR="00075140" w:rsidRPr="003C2A93" w:rsidRDefault="004331A0" w:rsidP="00075140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Tale richiesta dovrà</w:t>
      </w:r>
      <w:r w:rsidR="00075140" w:rsidRPr="003C2A93">
        <w:rPr>
          <w:rFonts w:ascii="Arial" w:hAnsi="Arial" w:cs="Arial"/>
          <w:snapToGrid w:val="0"/>
          <w:lang w:val="it-IT"/>
        </w:rPr>
        <w:t xml:space="preserve"> perven</w:t>
      </w:r>
      <w:r w:rsidRPr="003C2A93">
        <w:rPr>
          <w:rFonts w:ascii="Arial" w:hAnsi="Arial" w:cs="Arial"/>
          <w:snapToGrid w:val="0"/>
          <w:lang w:val="it-IT"/>
        </w:rPr>
        <w:t xml:space="preserve">ire al Garante entro i termini di </w:t>
      </w:r>
      <w:r w:rsidR="00075140" w:rsidRPr="003C2A93">
        <w:rPr>
          <w:rFonts w:ascii="Arial" w:hAnsi="Arial" w:cs="Arial"/>
          <w:snapToGrid w:val="0"/>
          <w:lang w:val="it-IT"/>
        </w:rPr>
        <w:t xml:space="preserve">cui all'art. 2 ed </w:t>
      </w:r>
      <w:r w:rsidRPr="003C2A93">
        <w:rPr>
          <w:rFonts w:ascii="Arial" w:hAnsi="Arial" w:cs="Arial"/>
          <w:snapToGrid w:val="0"/>
          <w:lang w:val="it-IT"/>
        </w:rPr>
        <w:t xml:space="preserve">essere formulata in conformità </w:t>
      </w:r>
      <w:r w:rsidR="00075140" w:rsidRPr="003C2A93">
        <w:rPr>
          <w:rFonts w:ascii="Arial" w:hAnsi="Arial" w:cs="Arial"/>
          <w:snapToGrid w:val="0"/>
          <w:lang w:val="it-IT"/>
        </w:rPr>
        <w:t xml:space="preserve">all'art. 6. </w:t>
      </w:r>
    </w:p>
    <w:p w:rsidR="009440A9" w:rsidRPr="003C2A93" w:rsidRDefault="009440A9" w:rsidP="009440A9">
      <w:pPr>
        <w:jc w:val="both"/>
        <w:rPr>
          <w:rFonts w:ascii="Arial" w:hAnsi="Arial" w:cs="Arial"/>
          <w:snapToGrid w:val="0"/>
          <w:highlight w:val="red"/>
          <w:lang w:val="it-IT"/>
        </w:rPr>
      </w:pP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Il Garante non godrà del beneficio della preventiva escussione del debitore p</w:t>
      </w:r>
      <w:r w:rsidR="00B27612" w:rsidRPr="003C2A93">
        <w:rPr>
          <w:rFonts w:ascii="Arial" w:hAnsi="Arial" w:cs="Arial"/>
          <w:snapToGrid w:val="0"/>
          <w:lang w:val="it-IT"/>
        </w:rPr>
        <w:t>rincipale di cui all’art. 1944 C</w:t>
      </w:r>
      <w:r w:rsidRPr="003C2A93">
        <w:rPr>
          <w:rFonts w:ascii="Arial" w:hAnsi="Arial" w:cs="Arial"/>
          <w:snapToGrid w:val="0"/>
          <w:lang w:val="it-IT"/>
        </w:rPr>
        <w:t>od</w:t>
      </w:r>
      <w:r w:rsidR="00B27612" w:rsidRPr="003C2A93">
        <w:rPr>
          <w:rFonts w:ascii="Arial" w:hAnsi="Arial" w:cs="Arial"/>
          <w:snapToGrid w:val="0"/>
          <w:lang w:val="it-IT"/>
        </w:rPr>
        <w:t xml:space="preserve">ice </w:t>
      </w:r>
      <w:r w:rsidRPr="003C2A93">
        <w:rPr>
          <w:rFonts w:ascii="Arial" w:hAnsi="Arial" w:cs="Arial"/>
          <w:snapToGrid w:val="0"/>
          <w:lang w:val="it-IT"/>
        </w:rPr>
        <w:t>Civ</w:t>
      </w:r>
      <w:r w:rsidR="00B27612" w:rsidRPr="003C2A93">
        <w:rPr>
          <w:rFonts w:ascii="Arial" w:hAnsi="Arial" w:cs="Arial"/>
          <w:snapToGrid w:val="0"/>
          <w:lang w:val="it-IT"/>
        </w:rPr>
        <w:t>ile</w:t>
      </w:r>
      <w:r w:rsidRPr="003C2A93">
        <w:rPr>
          <w:rFonts w:ascii="Arial" w:hAnsi="Arial" w:cs="Arial"/>
          <w:snapToGrid w:val="0"/>
          <w:lang w:val="it-IT"/>
        </w:rPr>
        <w:t xml:space="preserve"> </w:t>
      </w:r>
      <w:r w:rsidR="004331A0" w:rsidRPr="003C2A93">
        <w:rPr>
          <w:rFonts w:ascii="Arial" w:hAnsi="Arial" w:cs="Arial"/>
          <w:snapToGrid w:val="0"/>
          <w:lang w:val="it-IT"/>
        </w:rPr>
        <w:t xml:space="preserve">e </w:t>
      </w:r>
      <w:r w:rsidR="00075140" w:rsidRPr="003C2A93">
        <w:rPr>
          <w:rFonts w:ascii="Arial" w:hAnsi="Arial" w:cs="Arial"/>
          <w:snapToGrid w:val="0"/>
          <w:lang w:val="it-IT"/>
        </w:rPr>
        <w:t>rinuncia all'eccezione di cui all'art. 1957, comma 2, cod. civ.</w:t>
      </w:r>
    </w:p>
    <w:p w:rsidR="009440A9" w:rsidRPr="003C2A93" w:rsidRDefault="009440A9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4B6C77" w:rsidRPr="003C2A93" w:rsidRDefault="004B6C77" w:rsidP="004B6C77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Resta salva l'a</w:t>
      </w:r>
      <w:r w:rsidR="004331A0" w:rsidRPr="003C2A93">
        <w:rPr>
          <w:rFonts w:ascii="Arial" w:hAnsi="Arial" w:cs="Arial"/>
          <w:snapToGrid w:val="0"/>
          <w:lang w:val="it-IT"/>
        </w:rPr>
        <w:t>zione di ripetizione verso la Stazione</w:t>
      </w:r>
      <w:r w:rsidRPr="003C2A93">
        <w:rPr>
          <w:rFonts w:ascii="Arial" w:hAnsi="Arial" w:cs="Arial"/>
          <w:snapToGrid w:val="0"/>
          <w:lang w:val="it-IT"/>
        </w:rPr>
        <w:t xml:space="preserve"> appaltante</w:t>
      </w:r>
      <w:r w:rsidR="00BF4DE8" w:rsidRPr="003C2A93">
        <w:rPr>
          <w:rFonts w:ascii="Arial" w:hAnsi="Arial" w:cs="Arial"/>
          <w:snapToGrid w:val="0"/>
          <w:lang w:val="it-IT"/>
        </w:rPr>
        <w:t>/l’ente committente</w:t>
      </w:r>
      <w:r w:rsidRPr="003C2A93">
        <w:rPr>
          <w:rFonts w:ascii="Arial" w:hAnsi="Arial" w:cs="Arial"/>
          <w:snapToGrid w:val="0"/>
          <w:lang w:val="it-IT"/>
        </w:rPr>
        <w:t xml:space="preserve"> </w:t>
      </w:r>
      <w:r w:rsidR="004331A0" w:rsidRPr="003C2A93">
        <w:rPr>
          <w:rFonts w:ascii="Arial" w:hAnsi="Arial" w:cs="Arial"/>
          <w:snapToGrid w:val="0"/>
          <w:lang w:val="it-IT"/>
        </w:rPr>
        <w:t>per il caso</w:t>
      </w:r>
      <w:r w:rsidRPr="003C2A93">
        <w:rPr>
          <w:rFonts w:ascii="Arial" w:hAnsi="Arial" w:cs="Arial"/>
          <w:snapToGrid w:val="0"/>
          <w:lang w:val="it-IT"/>
        </w:rPr>
        <w:t xml:space="preserve"> i</w:t>
      </w:r>
      <w:r w:rsidR="004331A0" w:rsidRPr="003C2A93">
        <w:rPr>
          <w:rFonts w:ascii="Arial" w:hAnsi="Arial" w:cs="Arial"/>
          <w:snapToGrid w:val="0"/>
          <w:lang w:val="it-IT"/>
        </w:rPr>
        <w:t xml:space="preserve">n cui le somme pagate dal Garante </w:t>
      </w:r>
      <w:r w:rsidRPr="003C2A93">
        <w:rPr>
          <w:rFonts w:ascii="Arial" w:hAnsi="Arial" w:cs="Arial"/>
          <w:snapToGrid w:val="0"/>
          <w:lang w:val="it-IT"/>
        </w:rPr>
        <w:t>risultassero parzialmente o totalmente non</w:t>
      </w:r>
      <w:r w:rsidR="004331A0" w:rsidRPr="003C2A93">
        <w:rPr>
          <w:rFonts w:ascii="Arial" w:hAnsi="Arial" w:cs="Arial"/>
          <w:snapToGrid w:val="0"/>
          <w:lang w:val="it-IT"/>
        </w:rPr>
        <w:t xml:space="preserve"> dovute dal Contraente o dal</w:t>
      </w:r>
      <w:r w:rsidRPr="003C2A93">
        <w:rPr>
          <w:rFonts w:ascii="Arial" w:hAnsi="Arial" w:cs="Arial"/>
          <w:snapToGrid w:val="0"/>
          <w:lang w:val="it-IT"/>
        </w:rPr>
        <w:t xml:space="preserve"> Garante (art. 104, comma 10, del </w:t>
      </w:r>
      <w:r w:rsidR="00BF4DE8" w:rsidRPr="003C2A93">
        <w:rPr>
          <w:rFonts w:ascii="Arial" w:hAnsi="Arial" w:cs="Arial"/>
          <w:snapToGrid w:val="0"/>
          <w:lang w:val="it-IT"/>
        </w:rPr>
        <w:t>D.Lgs. n. 50/2016</w:t>
      </w:r>
      <w:r w:rsidRPr="003C2A93">
        <w:rPr>
          <w:rFonts w:ascii="Arial" w:hAnsi="Arial" w:cs="Arial"/>
          <w:snapToGrid w:val="0"/>
          <w:lang w:val="it-IT"/>
        </w:rPr>
        <w:t>).</w:t>
      </w:r>
    </w:p>
    <w:p w:rsidR="004B6C77" w:rsidRDefault="004B6C77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3C2A93" w:rsidRPr="003C2A93" w:rsidRDefault="003C2A93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526ADF" w:rsidRPr="003C2A93" w:rsidRDefault="00526ADF" w:rsidP="00526ADF">
      <w:pPr>
        <w:pStyle w:val="Titolo1"/>
        <w:jc w:val="both"/>
        <w:rPr>
          <w:rFonts w:ascii="Arial" w:hAnsi="Arial" w:cs="Arial"/>
          <w:sz w:val="20"/>
          <w:lang w:val="it-IT"/>
        </w:rPr>
      </w:pPr>
      <w:r w:rsidRPr="003C2A93">
        <w:rPr>
          <w:rFonts w:ascii="Arial" w:hAnsi="Arial" w:cs="Arial"/>
          <w:sz w:val="20"/>
          <w:lang w:val="it-IT"/>
        </w:rPr>
        <w:lastRenderedPageBreak/>
        <w:t>Art. 5 – Surrogazione</w:t>
      </w:r>
      <w:r w:rsidR="009440A9" w:rsidRPr="003C2A93">
        <w:rPr>
          <w:rFonts w:ascii="Arial" w:hAnsi="Arial" w:cs="Arial"/>
          <w:sz w:val="20"/>
          <w:lang w:val="it-IT"/>
        </w:rPr>
        <w:t xml:space="preserve"> – Rivalsa</w:t>
      </w:r>
    </w:p>
    <w:p w:rsidR="009440A9" w:rsidRPr="003C2A93" w:rsidRDefault="009440A9" w:rsidP="009440A9">
      <w:pPr>
        <w:rPr>
          <w:rFonts w:ascii="Arial" w:hAnsi="Arial" w:cs="Arial"/>
          <w:lang w:val="it-IT"/>
        </w:rPr>
      </w:pP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Il Garante, nei limiti delle somme pagate, è surrogato alla Stazione appaltante</w:t>
      </w:r>
      <w:r w:rsidR="00BF4DE8" w:rsidRPr="003C2A93">
        <w:rPr>
          <w:rFonts w:ascii="Arial" w:hAnsi="Arial" w:cs="Arial"/>
          <w:snapToGrid w:val="0"/>
          <w:lang w:val="it-IT"/>
        </w:rPr>
        <w:t>/all’ente committente</w:t>
      </w:r>
      <w:r w:rsidRPr="003C2A93">
        <w:rPr>
          <w:rFonts w:ascii="Arial" w:hAnsi="Arial" w:cs="Arial"/>
          <w:snapToGrid w:val="0"/>
          <w:lang w:val="it-IT"/>
        </w:rPr>
        <w:t xml:space="preserve"> in tutti i diritti, ragioni ed azioni verso il Contraente, i suoi successori ed aventi causa a qualsiasi titolo.</w:t>
      </w:r>
    </w:p>
    <w:p w:rsidR="009440A9" w:rsidRPr="003C2A93" w:rsidRDefault="009440A9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9440A9" w:rsidRPr="003C2A93" w:rsidRDefault="009440A9" w:rsidP="009440A9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Il Gara</w:t>
      </w:r>
      <w:r w:rsidR="00BF4DE8" w:rsidRPr="003C2A93">
        <w:rPr>
          <w:rFonts w:ascii="Arial" w:hAnsi="Arial" w:cs="Arial"/>
          <w:snapToGrid w:val="0"/>
          <w:lang w:val="it-IT"/>
        </w:rPr>
        <w:t>nte ha altresì</w:t>
      </w:r>
      <w:r w:rsidRPr="003C2A93">
        <w:rPr>
          <w:rFonts w:ascii="Arial" w:hAnsi="Arial" w:cs="Arial"/>
          <w:snapToGrid w:val="0"/>
          <w:lang w:val="it-IT"/>
        </w:rPr>
        <w:t xml:space="preserve"> diritto d</w:t>
      </w:r>
      <w:r w:rsidR="003679AB" w:rsidRPr="003C2A93">
        <w:rPr>
          <w:rFonts w:ascii="Arial" w:hAnsi="Arial" w:cs="Arial"/>
          <w:snapToGrid w:val="0"/>
          <w:lang w:val="it-IT"/>
        </w:rPr>
        <w:t xml:space="preserve">i rivalsa verso il </w:t>
      </w:r>
      <w:r w:rsidRPr="003C2A93">
        <w:rPr>
          <w:rFonts w:ascii="Arial" w:hAnsi="Arial" w:cs="Arial"/>
          <w:snapToGrid w:val="0"/>
          <w:lang w:val="it-IT"/>
        </w:rPr>
        <w:t xml:space="preserve">Contraente per le somme pagate in forza della presente garanzia (art. 104, comma 10, del del D.Lgs. </w:t>
      </w:r>
      <w:r w:rsidRPr="003C2A93">
        <w:rPr>
          <w:rFonts w:ascii="Arial" w:hAnsi="Arial" w:cs="Arial"/>
          <w:lang w:val="it-IT"/>
        </w:rPr>
        <w:t>n. 50/2016 e ss.mm.ii.</w:t>
      </w:r>
      <w:r w:rsidR="00BF4DE8" w:rsidRPr="003C2A93">
        <w:rPr>
          <w:rFonts w:ascii="Arial" w:hAnsi="Arial" w:cs="Arial"/>
          <w:snapToGrid w:val="0"/>
          <w:lang w:val="it-IT"/>
        </w:rPr>
        <w:t>).</w:t>
      </w:r>
    </w:p>
    <w:p w:rsidR="009440A9" w:rsidRPr="003C2A93" w:rsidRDefault="009440A9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La Stazione appaltante</w:t>
      </w:r>
      <w:r w:rsidR="00BF4DE8" w:rsidRPr="003C2A93">
        <w:rPr>
          <w:rFonts w:ascii="Arial" w:hAnsi="Arial" w:cs="Arial"/>
          <w:snapToGrid w:val="0"/>
          <w:lang w:val="it-IT"/>
        </w:rPr>
        <w:t>/l’ente committente</w:t>
      </w:r>
      <w:r w:rsidRPr="003C2A93">
        <w:rPr>
          <w:rFonts w:ascii="Arial" w:hAnsi="Arial" w:cs="Arial"/>
          <w:snapToGrid w:val="0"/>
          <w:lang w:val="it-IT"/>
        </w:rPr>
        <w:t xml:space="preserve"> faciliterà le azioni di recupero fornendo al Garante tutti gli elementi utili in suo possesso.</w:t>
      </w:r>
    </w:p>
    <w:p w:rsidR="00526ADF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3C2A93" w:rsidRPr="003C2A93" w:rsidRDefault="003C2A93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526ADF" w:rsidRPr="003C2A93" w:rsidRDefault="00526ADF" w:rsidP="00526ADF">
      <w:pPr>
        <w:pStyle w:val="Titolo1"/>
        <w:jc w:val="both"/>
        <w:rPr>
          <w:rFonts w:ascii="Arial" w:hAnsi="Arial" w:cs="Arial"/>
          <w:sz w:val="20"/>
          <w:lang w:val="it-IT"/>
        </w:rPr>
      </w:pPr>
      <w:r w:rsidRPr="003C2A93">
        <w:rPr>
          <w:rFonts w:ascii="Arial" w:hAnsi="Arial" w:cs="Arial"/>
          <w:sz w:val="20"/>
          <w:lang w:val="it-IT"/>
        </w:rPr>
        <w:t>Art. 6 – Forma delle comunicazioni</w:t>
      </w:r>
    </w:p>
    <w:p w:rsidR="004B6C77" w:rsidRPr="003C2A93" w:rsidRDefault="00526ADF" w:rsidP="004B6C77">
      <w:pPr>
        <w:rPr>
          <w:rFonts w:ascii="Arial" w:eastAsia="Calibri" w:hAnsi="Arial" w:cs="Arial"/>
          <w:sz w:val="22"/>
          <w:szCs w:val="22"/>
          <w:lang w:val="it-IT" w:eastAsia="en-US"/>
        </w:rPr>
      </w:pPr>
      <w:r w:rsidRPr="003C2A93">
        <w:rPr>
          <w:rFonts w:ascii="Arial" w:hAnsi="Arial" w:cs="Arial"/>
          <w:snapToGrid w:val="0"/>
          <w:lang w:val="it-IT"/>
        </w:rPr>
        <w:t xml:space="preserve">Tutte le comunicazioni e notifiche al Garante dipendenti dalla presente garanzia, per essere valide, devono essere fatte esclusivamente con </w:t>
      </w:r>
      <w:r w:rsidR="0072443D" w:rsidRPr="003C2A93">
        <w:rPr>
          <w:rFonts w:ascii="Arial" w:hAnsi="Arial" w:cs="Arial"/>
          <w:snapToGrid w:val="0"/>
          <w:lang w:val="it-IT"/>
        </w:rPr>
        <w:t>comunicazione</w:t>
      </w:r>
      <w:r w:rsidR="00B27612" w:rsidRPr="003C2A93">
        <w:rPr>
          <w:rFonts w:ascii="Arial" w:hAnsi="Arial" w:cs="Arial"/>
          <w:snapToGrid w:val="0"/>
          <w:lang w:val="it-IT"/>
        </w:rPr>
        <w:t xml:space="preserve"> inviat</w:t>
      </w:r>
      <w:r w:rsidR="0072443D" w:rsidRPr="003C2A93">
        <w:rPr>
          <w:rFonts w:ascii="Arial" w:hAnsi="Arial" w:cs="Arial"/>
          <w:snapToGrid w:val="0"/>
          <w:lang w:val="it-IT"/>
        </w:rPr>
        <w:t>a</w:t>
      </w:r>
      <w:r w:rsidR="00B27612" w:rsidRPr="003C2A93">
        <w:rPr>
          <w:rFonts w:ascii="Arial" w:hAnsi="Arial" w:cs="Arial"/>
          <w:snapToGrid w:val="0"/>
          <w:lang w:val="it-IT"/>
        </w:rPr>
        <w:t xml:space="preserve"> via Pec o </w:t>
      </w:r>
      <w:r w:rsidRPr="003C2A93">
        <w:rPr>
          <w:rFonts w:ascii="Arial" w:hAnsi="Arial" w:cs="Arial"/>
          <w:snapToGrid w:val="0"/>
          <w:lang w:val="it-IT"/>
        </w:rPr>
        <w:t xml:space="preserve">lettera raccomandata </w:t>
      </w:r>
      <w:r w:rsidR="00BF4DE8" w:rsidRPr="003C2A93">
        <w:rPr>
          <w:rFonts w:ascii="Arial" w:hAnsi="Arial" w:cs="Arial"/>
          <w:snapToGrid w:val="0"/>
          <w:lang w:val="it-IT"/>
        </w:rPr>
        <w:t>i</w:t>
      </w:r>
      <w:r w:rsidR="004B6C77" w:rsidRPr="003C2A93">
        <w:rPr>
          <w:rFonts w:ascii="Arial" w:hAnsi="Arial" w:cs="Arial"/>
          <w:snapToGrid w:val="0"/>
          <w:lang w:val="it-IT"/>
        </w:rPr>
        <w:t>nviate agli indirizzi indicati nella Scheda Tecnica.</w:t>
      </w:r>
      <w:r w:rsidR="004B6C77" w:rsidRPr="003C2A93">
        <w:rPr>
          <w:rFonts w:ascii="Arial" w:eastAsia="Calibri" w:hAnsi="Arial" w:cs="Arial"/>
          <w:sz w:val="22"/>
          <w:szCs w:val="22"/>
          <w:lang w:val="it-IT" w:eastAsia="en-US"/>
        </w:rPr>
        <w:t xml:space="preserve"> </w:t>
      </w: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526ADF" w:rsidRPr="003C2A93" w:rsidRDefault="00526ADF" w:rsidP="00526ADF">
      <w:pPr>
        <w:pStyle w:val="Titolo1"/>
        <w:jc w:val="both"/>
        <w:rPr>
          <w:rFonts w:ascii="Arial" w:hAnsi="Arial" w:cs="Arial"/>
          <w:sz w:val="20"/>
          <w:lang w:val="it-IT"/>
        </w:rPr>
      </w:pPr>
      <w:r w:rsidRPr="003C2A93">
        <w:rPr>
          <w:rFonts w:ascii="Arial" w:hAnsi="Arial" w:cs="Arial"/>
          <w:sz w:val="20"/>
          <w:lang w:val="it-IT"/>
        </w:rPr>
        <w:t xml:space="preserve">Art. </w:t>
      </w:r>
      <w:r w:rsidR="00D2686E" w:rsidRPr="003C2A93">
        <w:rPr>
          <w:rFonts w:ascii="Arial" w:hAnsi="Arial" w:cs="Arial"/>
          <w:sz w:val="20"/>
          <w:lang w:val="it-IT"/>
        </w:rPr>
        <w:t>7</w:t>
      </w:r>
      <w:r w:rsidRPr="003C2A93">
        <w:rPr>
          <w:rFonts w:ascii="Arial" w:hAnsi="Arial" w:cs="Arial"/>
          <w:sz w:val="20"/>
          <w:lang w:val="it-IT"/>
        </w:rPr>
        <w:t xml:space="preserve"> – Foro competente</w:t>
      </w: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 xml:space="preserve">In caso di controversia fra il Garante e </w:t>
      </w:r>
      <w:smartTag w:uri="urn:schemas-microsoft-com:office:smarttags" w:element="PersonName">
        <w:smartTagPr>
          <w:attr w:name="ProductID" w:val="La Stazione"/>
        </w:smartTagPr>
        <w:r w:rsidRPr="003C2A93">
          <w:rPr>
            <w:rFonts w:ascii="Arial" w:hAnsi="Arial" w:cs="Arial"/>
            <w:snapToGrid w:val="0"/>
            <w:lang w:val="it-IT"/>
          </w:rPr>
          <w:t>la Stazione</w:t>
        </w:r>
      </w:smartTag>
      <w:r w:rsidRPr="003C2A93">
        <w:rPr>
          <w:rFonts w:ascii="Arial" w:hAnsi="Arial" w:cs="Arial"/>
          <w:snapToGrid w:val="0"/>
          <w:lang w:val="it-IT"/>
        </w:rPr>
        <w:t xml:space="preserve"> appaltante</w:t>
      </w:r>
      <w:r w:rsidR="00BF4DE8" w:rsidRPr="003C2A93">
        <w:rPr>
          <w:rFonts w:ascii="Arial" w:hAnsi="Arial" w:cs="Arial"/>
          <w:snapToGrid w:val="0"/>
          <w:lang w:val="it-IT"/>
        </w:rPr>
        <w:t>/l’ente committente</w:t>
      </w:r>
      <w:r w:rsidRPr="003C2A93">
        <w:rPr>
          <w:rFonts w:ascii="Arial" w:hAnsi="Arial" w:cs="Arial"/>
          <w:snapToGrid w:val="0"/>
          <w:lang w:val="it-IT"/>
        </w:rPr>
        <w:t xml:space="preserve">, il foro competente è quello </w:t>
      </w:r>
      <w:r w:rsidR="008F13EF" w:rsidRPr="003C2A93">
        <w:rPr>
          <w:rFonts w:ascii="Arial" w:hAnsi="Arial" w:cs="Arial"/>
          <w:snapToGrid w:val="0"/>
          <w:lang w:val="it-IT"/>
        </w:rPr>
        <w:t>di Bolzano.</w:t>
      </w:r>
    </w:p>
    <w:p w:rsidR="00526ADF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3C2A93" w:rsidRPr="003C2A93" w:rsidRDefault="003C2A93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526ADF" w:rsidRPr="003C2A93" w:rsidRDefault="00526ADF" w:rsidP="00526ADF">
      <w:pPr>
        <w:pStyle w:val="Titolo1"/>
        <w:jc w:val="both"/>
        <w:rPr>
          <w:rFonts w:ascii="Arial" w:hAnsi="Arial" w:cs="Arial"/>
          <w:sz w:val="20"/>
          <w:lang w:val="it-IT"/>
        </w:rPr>
      </w:pPr>
      <w:r w:rsidRPr="003C2A93">
        <w:rPr>
          <w:rFonts w:ascii="Arial" w:hAnsi="Arial" w:cs="Arial"/>
          <w:sz w:val="20"/>
          <w:lang w:val="it-IT"/>
        </w:rPr>
        <w:t xml:space="preserve">Art. </w:t>
      </w:r>
      <w:r w:rsidR="00D2686E" w:rsidRPr="003C2A93">
        <w:rPr>
          <w:rFonts w:ascii="Arial" w:hAnsi="Arial" w:cs="Arial"/>
          <w:sz w:val="20"/>
          <w:lang w:val="it-IT"/>
        </w:rPr>
        <w:t>8</w:t>
      </w:r>
      <w:r w:rsidRPr="003C2A93">
        <w:rPr>
          <w:rFonts w:ascii="Arial" w:hAnsi="Arial" w:cs="Arial"/>
          <w:sz w:val="20"/>
          <w:lang w:val="it-IT"/>
        </w:rPr>
        <w:t xml:space="preserve"> – Rinvio alle norme di legge</w:t>
      </w: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  <w:r w:rsidRPr="003C2A93">
        <w:rPr>
          <w:rFonts w:ascii="Arial" w:hAnsi="Arial" w:cs="Arial"/>
          <w:snapToGrid w:val="0"/>
          <w:lang w:val="it-IT"/>
        </w:rPr>
        <w:t>Per tutto quanto non diversamente regolato, valgono le norme di legge.</w:t>
      </w:r>
    </w:p>
    <w:p w:rsidR="00526ADF" w:rsidRPr="003C2A93" w:rsidRDefault="00526ADF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4B2017" w:rsidRDefault="004B2017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3C2A93" w:rsidRPr="003C2A93" w:rsidRDefault="003C2A93" w:rsidP="00526ADF">
      <w:pPr>
        <w:jc w:val="both"/>
        <w:rPr>
          <w:rFonts w:ascii="Arial" w:hAnsi="Arial" w:cs="Arial"/>
          <w:snapToGrid w:val="0"/>
          <w:lang w:val="it-IT"/>
        </w:rPr>
      </w:pPr>
    </w:p>
    <w:p w:rsidR="007D1A7D" w:rsidRPr="003C2A93" w:rsidRDefault="0072443D" w:rsidP="00526ADF">
      <w:pPr>
        <w:pStyle w:val="Intestazione"/>
        <w:widowControl w:val="0"/>
        <w:tabs>
          <w:tab w:val="clear" w:pos="4536"/>
          <w:tab w:val="clear" w:pos="9072"/>
          <w:tab w:val="center" w:pos="4818"/>
        </w:tabs>
        <w:jc w:val="both"/>
        <w:outlineLvl w:val="1"/>
        <w:rPr>
          <w:rFonts w:ascii="Arial" w:hAnsi="Arial" w:cs="Arial"/>
          <w:lang w:val="it-IT"/>
        </w:rPr>
      </w:pPr>
      <w:r w:rsidRPr="003C2A93">
        <w:rPr>
          <w:rFonts w:ascii="Arial" w:hAnsi="Arial" w:cs="Arial"/>
          <w:b/>
          <w:lang w:val="it-IT"/>
        </w:rPr>
        <w:t>Allegato:</w:t>
      </w:r>
      <w:r w:rsidRPr="003C2A93">
        <w:rPr>
          <w:rFonts w:ascii="Arial" w:hAnsi="Arial" w:cs="Arial"/>
          <w:lang w:val="it-IT"/>
        </w:rPr>
        <w:t xml:space="preserve"> scheda tecnica garanzia fideiussoria per la cauzione definitiva</w:t>
      </w:r>
      <w:r w:rsidR="00BF4DE8" w:rsidRPr="003C2A93">
        <w:rPr>
          <w:rFonts w:ascii="Arial" w:hAnsi="Arial" w:cs="Arial"/>
          <w:lang w:val="it-IT"/>
        </w:rPr>
        <w:t>.</w:t>
      </w:r>
    </w:p>
    <w:p w:rsidR="00BA0617" w:rsidRPr="00800E44" w:rsidRDefault="00BA0617" w:rsidP="00526ADF">
      <w:pPr>
        <w:pStyle w:val="Intestazione"/>
        <w:widowControl w:val="0"/>
        <w:tabs>
          <w:tab w:val="clear" w:pos="4536"/>
          <w:tab w:val="clear" w:pos="9072"/>
          <w:tab w:val="center" w:pos="4818"/>
        </w:tabs>
        <w:jc w:val="both"/>
        <w:outlineLvl w:val="1"/>
        <w:rPr>
          <w:rFonts w:ascii="Verdana" w:hAnsi="Verdana" w:cs="Arial"/>
          <w:lang w:val="it-IT"/>
        </w:rPr>
      </w:pPr>
    </w:p>
    <w:p w:rsidR="00BA0617" w:rsidRPr="00800E44" w:rsidRDefault="00BA0617" w:rsidP="00526ADF">
      <w:pPr>
        <w:pStyle w:val="Intestazione"/>
        <w:widowControl w:val="0"/>
        <w:tabs>
          <w:tab w:val="clear" w:pos="4536"/>
          <w:tab w:val="clear" w:pos="9072"/>
          <w:tab w:val="center" w:pos="4818"/>
        </w:tabs>
        <w:jc w:val="both"/>
        <w:outlineLvl w:val="1"/>
        <w:rPr>
          <w:rFonts w:ascii="Verdana" w:hAnsi="Verdana" w:cs="Arial"/>
          <w:lang w:val="it-IT"/>
        </w:rPr>
      </w:pPr>
    </w:p>
    <w:p w:rsidR="00BA0617" w:rsidRPr="00800E44" w:rsidRDefault="00BA0617" w:rsidP="00526ADF">
      <w:pPr>
        <w:pStyle w:val="Intestazione"/>
        <w:widowControl w:val="0"/>
        <w:tabs>
          <w:tab w:val="clear" w:pos="4536"/>
          <w:tab w:val="clear" w:pos="9072"/>
          <w:tab w:val="center" w:pos="4818"/>
        </w:tabs>
        <w:jc w:val="both"/>
        <w:outlineLvl w:val="1"/>
        <w:rPr>
          <w:rFonts w:ascii="Verdana" w:hAnsi="Verdana" w:cs="Arial"/>
          <w:lang w:val="it-IT"/>
        </w:rPr>
      </w:pPr>
    </w:p>
    <w:p w:rsidR="00794F08" w:rsidRPr="00800E44" w:rsidRDefault="00791688" w:rsidP="00526ADF">
      <w:pPr>
        <w:pStyle w:val="Intestazione"/>
        <w:widowControl w:val="0"/>
        <w:tabs>
          <w:tab w:val="clear" w:pos="4536"/>
          <w:tab w:val="clear" w:pos="9072"/>
          <w:tab w:val="center" w:pos="4818"/>
        </w:tabs>
        <w:jc w:val="both"/>
        <w:outlineLvl w:val="1"/>
        <w:rPr>
          <w:rFonts w:ascii="Verdana" w:hAnsi="Verdana" w:cs="Arial"/>
          <w:lang w:val="it-IT"/>
        </w:rPr>
      </w:pPr>
      <w:r w:rsidRPr="00800E44">
        <w:rPr>
          <w:rFonts w:ascii="Verdana" w:hAnsi="Verdana" w:cs="Arial"/>
          <w:lang w:val="it-IT"/>
        </w:rPr>
        <w:br w:type="column"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008"/>
      </w:tblGrid>
      <w:tr w:rsidR="00526ADF" w:rsidRPr="00C630F8">
        <w:trPr>
          <w:trHeight w:val="429"/>
        </w:trPr>
        <w:tc>
          <w:tcPr>
            <w:tcW w:w="2770" w:type="dxa"/>
            <w:vAlign w:val="center"/>
          </w:tcPr>
          <w:p w:rsidR="00526ADF" w:rsidRPr="00DE123B" w:rsidRDefault="00B11D18" w:rsidP="00B11D1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123B">
              <w:rPr>
                <w:rFonts w:ascii="Arial" w:hAnsi="Arial" w:cs="Arial"/>
                <w:sz w:val="24"/>
                <w:szCs w:val="24"/>
                <w:lang w:val="it-IT"/>
              </w:rPr>
              <w:br w:type="page"/>
            </w:r>
            <w:r w:rsidR="00526ADF" w:rsidRPr="00DE123B">
              <w:rPr>
                <w:rFonts w:ascii="Arial" w:hAnsi="Arial" w:cs="Arial"/>
                <w:b/>
                <w:sz w:val="24"/>
                <w:szCs w:val="24"/>
              </w:rPr>
              <w:t>SCHEDA TECNICA 1.2</w:t>
            </w:r>
          </w:p>
        </w:tc>
        <w:tc>
          <w:tcPr>
            <w:tcW w:w="7008" w:type="dxa"/>
            <w:vAlign w:val="center"/>
          </w:tcPr>
          <w:p w:rsidR="00526ADF" w:rsidRPr="00DE123B" w:rsidRDefault="00526ADF" w:rsidP="00B11D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  <w:r w:rsidRPr="00DE123B">
              <w:rPr>
                <w:rFonts w:ascii="Arial" w:hAnsi="Arial" w:cs="Arial"/>
                <w:b/>
                <w:sz w:val="24"/>
                <w:szCs w:val="24"/>
                <w:lang w:val="it-IT"/>
              </w:rPr>
              <w:t>GARANZIA FIDEIUSSORIA PER LA CAUZIONE DEFINITIVA</w:t>
            </w:r>
          </w:p>
        </w:tc>
      </w:tr>
    </w:tbl>
    <w:p w:rsidR="00526ADF" w:rsidRPr="00DE123B" w:rsidRDefault="00526ADF" w:rsidP="00526ADF">
      <w:pPr>
        <w:jc w:val="both"/>
        <w:rPr>
          <w:rFonts w:ascii="Arial" w:hAnsi="Arial" w:cs="Arial"/>
          <w:b/>
          <w:lang w:val="it-IT"/>
        </w:rPr>
      </w:pPr>
    </w:p>
    <w:p w:rsidR="00526ADF" w:rsidRPr="00DE123B" w:rsidRDefault="00526ADF" w:rsidP="00526ADF">
      <w:pPr>
        <w:jc w:val="both"/>
        <w:rPr>
          <w:rFonts w:ascii="Arial" w:hAnsi="Arial" w:cs="Arial"/>
          <w:b/>
          <w:lang w:val="it-IT"/>
        </w:rPr>
      </w:pPr>
      <w:r w:rsidRPr="00DE123B">
        <w:rPr>
          <w:rFonts w:ascii="Arial" w:hAnsi="Arial" w:cs="Arial"/>
          <w:b/>
          <w:lang w:val="it-IT"/>
        </w:rPr>
        <w:t>La presente scheda tecnica costituisce parte integrante dell</w:t>
      </w:r>
      <w:r w:rsidR="00B11D18" w:rsidRPr="00DE123B">
        <w:rPr>
          <w:rFonts w:ascii="Arial" w:hAnsi="Arial" w:cs="Arial"/>
          <w:b/>
          <w:lang w:val="it-IT"/>
        </w:rPr>
        <w:t>a presente garanzia definitiva</w:t>
      </w:r>
      <w:r w:rsidRPr="00DE123B">
        <w:rPr>
          <w:rFonts w:ascii="Arial" w:hAnsi="Arial" w:cs="Arial"/>
          <w:b/>
          <w:lang w:val="it-IT"/>
        </w:rPr>
        <w:t xml:space="preserve"> </w:t>
      </w:r>
      <w:r w:rsidR="00375708" w:rsidRPr="00DE123B">
        <w:rPr>
          <w:rFonts w:ascii="Arial" w:hAnsi="Arial" w:cs="Arial"/>
          <w:b/>
          <w:lang w:val="it-IT"/>
        </w:rPr>
        <w:t>conforme allo Schema Tipo 1.2 di cui al DM 31/2018</w:t>
      </w:r>
    </w:p>
    <w:p w:rsidR="00925845" w:rsidRPr="00925845" w:rsidRDefault="00925845" w:rsidP="00925845">
      <w:pPr>
        <w:spacing w:before="100" w:beforeAutospacing="1" w:after="100" w:afterAutospacing="1"/>
        <w:ind w:left="284" w:right="-1"/>
        <w:jc w:val="both"/>
        <w:rPr>
          <w:rFonts w:ascii="Arial" w:hAnsi="Arial" w:cs="Arial"/>
          <w:b/>
          <w:bCs/>
          <w:lang w:val="it-IT" w:eastAsia="it-IT"/>
        </w:rPr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2"/>
        <w:gridCol w:w="844"/>
        <w:gridCol w:w="290"/>
        <w:gridCol w:w="35"/>
        <w:gridCol w:w="1524"/>
        <w:gridCol w:w="638"/>
        <w:gridCol w:w="64"/>
        <w:gridCol w:w="284"/>
        <w:gridCol w:w="857"/>
        <w:gridCol w:w="702"/>
        <w:gridCol w:w="6"/>
        <w:gridCol w:w="458"/>
        <w:gridCol w:w="196"/>
        <w:gridCol w:w="758"/>
        <w:gridCol w:w="6"/>
        <w:gridCol w:w="1347"/>
      </w:tblGrid>
      <w:tr w:rsidR="00925845" w:rsidRPr="00C630F8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Garanzia fideiussoria n.</w:t>
            </w: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Garante (denominazione/direzione, dipendenza, agenzia, ecc., nonché estremi autorizzazione e numero iscrizione Albo/Registro/Elenco)</w:t>
            </w:r>
          </w:p>
        </w:tc>
      </w:tr>
      <w:tr w:rsidR="00925845" w:rsidRPr="00C630F8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2616" w:type="dxa"/>
            <w:gridSpan w:val="2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Città</w:t>
            </w:r>
          </w:p>
        </w:tc>
        <w:tc>
          <w:tcPr>
            <w:tcW w:w="4394" w:type="dxa"/>
            <w:gridSpan w:val="8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1418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1353" w:type="dxa"/>
            <w:gridSpan w:val="2"/>
          </w:tcPr>
          <w:p w:rsidR="00925845" w:rsidRPr="00925845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925845">
              <w:rPr>
                <w:rFonts w:ascii="Arial" w:hAnsi="Arial" w:cs="Arial"/>
                <w:lang w:val="it-IT"/>
              </w:rPr>
              <w:t>Prov.</w:t>
            </w:r>
          </w:p>
        </w:tc>
      </w:tr>
      <w:tr w:rsidR="00925845" w:rsidRPr="00925845" w:rsidTr="003C26AF">
        <w:tc>
          <w:tcPr>
            <w:tcW w:w="2616" w:type="dxa"/>
            <w:gridSpan w:val="2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394" w:type="dxa"/>
            <w:gridSpan w:val="8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53" w:type="dxa"/>
            <w:gridSpan w:val="2"/>
          </w:tcPr>
          <w:p w:rsidR="00925845" w:rsidRPr="00925845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C.F./P.IVA</w:t>
            </w: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PEC</w:t>
            </w: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6308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 xml:space="preserve">Contraente </w:t>
            </w:r>
          </w:p>
        </w:tc>
        <w:tc>
          <w:tcPr>
            <w:tcW w:w="3473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C.F./P.I.</w:t>
            </w:r>
          </w:p>
        </w:tc>
      </w:tr>
      <w:tr w:rsidR="00925845" w:rsidRPr="00925845" w:rsidTr="003C26AF">
        <w:tc>
          <w:tcPr>
            <w:tcW w:w="6308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473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2941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Città</w:t>
            </w:r>
          </w:p>
        </w:tc>
        <w:tc>
          <w:tcPr>
            <w:tcW w:w="4075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1418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1347" w:type="dxa"/>
          </w:tcPr>
          <w:p w:rsidR="00925845" w:rsidRPr="00925845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925845">
              <w:rPr>
                <w:rFonts w:ascii="Arial" w:hAnsi="Arial" w:cs="Arial"/>
                <w:lang w:val="it-IT"/>
              </w:rPr>
              <w:t>Prov.</w:t>
            </w:r>
          </w:p>
        </w:tc>
      </w:tr>
      <w:tr w:rsidR="00925845" w:rsidRPr="00925845" w:rsidTr="003C26AF">
        <w:tc>
          <w:tcPr>
            <w:tcW w:w="2941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075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418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:rsidR="00925845" w:rsidRPr="00925845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C.F./P.IVA</w:t>
            </w: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PEC</w:t>
            </w: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C630F8" w:rsidTr="003C26AF">
        <w:tc>
          <w:tcPr>
            <w:tcW w:w="9781" w:type="dxa"/>
            <w:gridSpan w:val="16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Stazione appaltante/ente committente– (Beneficiario)</w:t>
            </w:r>
          </w:p>
        </w:tc>
      </w:tr>
      <w:tr w:rsidR="00925845" w:rsidRPr="00C630F8" w:rsidTr="003C26AF">
        <w:tc>
          <w:tcPr>
            <w:tcW w:w="9781" w:type="dxa"/>
            <w:gridSpan w:val="16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trike/>
                <w:lang w:val="it-IT"/>
              </w:rPr>
            </w:pPr>
          </w:p>
        </w:tc>
      </w:tr>
      <w:tr w:rsidR="00925845" w:rsidRPr="00925845" w:rsidTr="003C26AF">
        <w:tc>
          <w:tcPr>
            <w:tcW w:w="2616" w:type="dxa"/>
            <w:gridSpan w:val="2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Città</w:t>
            </w:r>
          </w:p>
        </w:tc>
        <w:tc>
          <w:tcPr>
            <w:tcW w:w="2551" w:type="dxa"/>
            <w:gridSpan w:val="5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Via</w:t>
            </w:r>
          </w:p>
        </w:tc>
        <w:tc>
          <w:tcPr>
            <w:tcW w:w="2307" w:type="dxa"/>
            <w:gridSpan w:val="5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CAP</w:t>
            </w:r>
          </w:p>
        </w:tc>
        <w:tc>
          <w:tcPr>
            <w:tcW w:w="2307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Prov.</w:t>
            </w:r>
          </w:p>
        </w:tc>
      </w:tr>
      <w:tr w:rsidR="00925845" w:rsidRPr="00925845" w:rsidTr="003C26AF">
        <w:tc>
          <w:tcPr>
            <w:tcW w:w="2616" w:type="dxa"/>
            <w:gridSpan w:val="2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551" w:type="dxa"/>
            <w:gridSpan w:val="5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307" w:type="dxa"/>
            <w:gridSpan w:val="5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307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C.F./P.IVA</w:t>
            </w: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PEC</w:t>
            </w: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6308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Gara d'appalto</w:t>
            </w:r>
          </w:p>
        </w:tc>
        <w:tc>
          <w:tcPr>
            <w:tcW w:w="3473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123B">
              <w:rPr>
                <w:rFonts w:ascii="Arial" w:hAnsi="Arial" w:cs="Arial"/>
                <w:lang w:val="it-IT"/>
              </w:rPr>
              <w:t>Luogo d’esecuzione</w:t>
            </w:r>
          </w:p>
        </w:tc>
      </w:tr>
      <w:tr w:rsidR="00925845" w:rsidRPr="00925845" w:rsidTr="003C26AF">
        <w:tc>
          <w:tcPr>
            <w:tcW w:w="6308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473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Importo aggiudicazione (€)</w:t>
            </w:r>
          </w:p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Ribasso %</w:t>
            </w:r>
          </w:p>
        </w:tc>
      </w:tr>
      <w:tr w:rsidR="00925845" w:rsidRPr="00925845" w:rsidTr="003C26AF">
        <w:tc>
          <w:tcPr>
            <w:tcW w:w="5167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Somma garantita (€)</w:t>
            </w:r>
          </w:p>
        </w:tc>
        <w:tc>
          <w:tcPr>
            <w:tcW w:w="4614" w:type="dxa"/>
            <w:gridSpan w:val="9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% dell’importo contrattuale</w:t>
            </w: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4465" w:type="dxa"/>
            <w:gridSpan w:val="5"/>
            <w:tcBorders>
              <w:top w:val="nil"/>
              <w:bottom w:val="single" w:sz="4" w:space="0" w:color="auto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316" w:type="dxa"/>
            <w:gridSpan w:val="11"/>
            <w:tcBorders>
              <w:top w:val="nil"/>
              <w:bottom w:val="single" w:sz="4" w:space="0" w:color="auto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c>
          <w:tcPr>
            <w:tcW w:w="7016" w:type="dxa"/>
            <w:gridSpan w:val="11"/>
            <w:tcBorders>
              <w:top w:val="single" w:sz="4" w:space="0" w:color="auto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123B">
              <w:rPr>
                <w:rFonts w:ascii="Arial" w:hAnsi="Arial" w:cs="Arial"/>
                <w:lang w:val="it-IT"/>
              </w:rPr>
              <w:t>Contraente (Obbligato principale)</w:t>
            </w:r>
            <w:r w:rsidRPr="00DE123B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765" w:type="dxa"/>
            <w:gridSpan w:val="5"/>
            <w:tcBorders>
              <w:top w:val="single" w:sz="4" w:space="0" w:color="auto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123B">
              <w:rPr>
                <w:rFonts w:ascii="Arial" w:hAnsi="Arial" w:cs="Arial"/>
              </w:rPr>
              <w:t>Quota parte %</w:t>
            </w:r>
          </w:p>
        </w:tc>
      </w:tr>
      <w:tr w:rsidR="00925845" w:rsidRPr="00925845" w:rsidTr="003C26AF">
        <w:tc>
          <w:tcPr>
            <w:tcW w:w="7016" w:type="dxa"/>
            <w:gridSpan w:val="11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123B">
              <w:rPr>
                <w:rFonts w:ascii="Arial" w:hAnsi="Arial" w:cs="Arial"/>
                <w:lang w:val="it-IT"/>
              </w:rPr>
              <w:t xml:space="preserve">capogruppo del </w:t>
            </w:r>
            <w:smartTag w:uri="urn:schemas-microsoft-com:office:smarttags" w:element="stockticker">
              <w:r w:rsidRPr="00DE123B">
                <w:rPr>
                  <w:rFonts w:ascii="Arial" w:hAnsi="Arial" w:cs="Arial"/>
                  <w:lang w:val="it-IT"/>
                </w:rPr>
                <w:t>RTI</w:t>
              </w:r>
            </w:smartTag>
            <w:r w:rsidRPr="00DE123B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2765" w:type="dxa"/>
            <w:gridSpan w:val="5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25845" w:rsidRPr="00925845" w:rsidTr="003C26AF">
        <w:tc>
          <w:tcPr>
            <w:tcW w:w="2941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123B">
              <w:rPr>
                <w:rFonts w:ascii="Arial" w:hAnsi="Arial" w:cs="Arial"/>
              </w:rPr>
              <w:t>Mandante</w:t>
            </w:r>
          </w:p>
        </w:tc>
        <w:tc>
          <w:tcPr>
            <w:tcW w:w="4075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5" w:type="dxa"/>
            <w:gridSpan w:val="5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25845" w:rsidRPr="00925845" w:rsidTr="003C26AF">
        <w:tc>
          <w:tcPr>
            <w:tcW w:w="2941" w:type="dxa"/>
            <w:gridSpan w:val="4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E123B">
              <w:rPr>
                <w:rFonts w:ascii="Arial" w:hAnsi="Arial" w:cs="Arial"/>
              </w:rPr>
              <w:t>Mandante</w:t>
            </w:r>
          </w:p>
        </w:tc>
        <w:tc>
          <w:tcPr>
            <w:tcW w:w="4075" w:type="dxa"/>
            <w:gridSpan w:val="7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765" w:type="dxa"/>
            <w:gridSpan w:val="5"/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925845" w:rsidRPr="00925845" w:rsidTr="003C26AF">
        <w:tc>
          <w:tcPr>
            <w:tcW w:w="9781" w:type="dxa"/>
            <w:gridSpan w:val="16"/>
            <w:tcBorders>
              <w:top w:val="nil"/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Data inizio garanzia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Data cessazione garanzia</w:t>
            </w:r>
          </w:p>
        </w:tc>
      </w:tr>
      <w:tr w:rsidR="00925845" w:rsidRPr="00925845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Vedi art. 2 Schema Tipo 1.2.</w:t>
            </w: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Vedi art. 2 Schema Tipo 1.2.</w:t>
            </w:r>
          </w:p>
        </w:tc>
      </w:tr>
      <w:tr w:rsidR="00925845" w:rsidRPr="00925845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3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C630F8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6"/>
            <w:tcBorders>
              <w:left w:val="nil"/>
              <w:bottom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Il Contraente ed il Garante, con la sottoscrizione della presente Scheda Tecnica, accettano le condizioni previste nella garanzia fideiussoria alla quale la presente Scheda risulta allegata.</w:t>
            </w:r>
          </w:p>
        </w:tc>
      </w:tr>
      <w:tr w:rsidR="00925845" w:rsidRPr="00C630F8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6"/>
            <w:tcBorders>
              <w:left w:val="nil"/>
              <w:bottom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925845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43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Il Contraente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925845" w:rsidRPr="00925845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925845">
              <w:rPr>
                <w:rFonts w:ascii="Arial" w:hAnsi="Arial" w:cs="Arial"/>
                <w:lang w:val="it-IT"/>
              </w:rPr>
              <w:t>Il Garante</w:t>
            </w:r>
          </w:p>
        </w:tc>
      </w:tr>
      <w:tr w:rsidR="00925845" w:rsidRPr="00925845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925845" w:rsidRPr="00C630F8" w:rsidTr="003C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Emessa in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  <w:r w:rsidRPr="00DE123B">
              <w:rPr>
                <w:rFonts w:ascii="Arial" w:hAnsi="Arial" w:cs="Arial"/>
                <w:lang w:val="it-IT"/>
              </w:rPr>
              <w:t>copie ad un solo effetto il</w:t>
            </w:r>
          </w:p>
        </w:tc>
        <w:tc>
          <w:tcPr>
            <w:tcW w:w="2219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25845" w:rsidRPr="00DE123B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2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5845" w:rsidRPr="00925845" w:rsidRDefault="00925845" w:rsidP="009258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925845" w:rsidRPr="00925845" w:rsidRDefault="00925845" w:rsidP="00925845">
      <w:pPr>
        <w:autoSpaceDE w:val="0"/>
        <w:autoSpaceDN w:val="0"/>
        <w:adjustRightInd w:val="0"/>
        <w:jc w:val="both"/>
        <w:rPr>
          <w:lang w:val="it-IT"/>
        </w:rPr>
      </w:pPr>
    </w:p>
    <w:p w:rsidR="00925845" w:rsidRPr="00925845" w:rsidRDefault="00925845" w:rsidP="00925845">
      <w:pPr>
        <w:tabs>
          <w:tab w:val="center" w:pos="4819"/>
          <w:tab w:val="right" w:pos="9638"/>
        </w:tabs>
        <w:rPr>
          <w:rFonts w:ascii="Arial" w:hAnsi="Arial" w:cs="Arial"/>
          <w:b/>
          <w:bCs/>
          <w:sz w:val="18"/>
          <w:szCs w:val="18"/>
          <w:lang w:val="it-IT" w:eastAsia="it-IT"/>
        </w:rPr>
      </w:pPr>
    </w:p>
    <w:p w:rsidR="00375708" w:rsidRPr="00800E44" w:rsidRDefault="00375708" w:rsidP="00526ADF">
      <w:pPr>
        <w:rPr>
          <w:rFonts w:ascii="Verdana" w:hAnsi="Verdana" w:cs="Arial"/>
          <w:lang w:val="it-IT"/>
        </w:rPr>
      </w:pPr>
    </w:p>
    <w:sectPr w:rsidR="00375708" w:rsidRPr="00800E44" w:rsidSect="008F13E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851" w:bottom="1531" w:left="1418" w:header="720" w:footer="82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EC8" w:rsidRDefault="00823EC8">
      <w:r>
        <w:separator/>
      </w:r>
    </w:p>
  </w:endnote>
  <w:endnote w:type="continuationSeparator" w:id="0">
    <w:p w:rsidR="00823EC8" w:rsidRDefault="0082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3F" w:rsidRDefault="0073513F" w:rsidP="004C08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513F" w:rsidRDefault="007351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13F" w:rsidRDefault="0073513F" w:rsidP="004C08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D2ECB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73513F" w:rsidRDefault="007351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CC" w:rsidRDefault="003D2ECB">
    <w:pPr>
      <w:pStyle w:val="Pidipagina"/>
      <w:jc w:val="both"/>
      <w:rPr>
        <w:rFonts w:ascii="Arial" w:hAnsi="Arial"/>
        <w:sz w:val="12"/>
      </w:rPr>
    </w:pPr>
    <w:r>
      <w:rPr>
        <w:rFonts w:ascii="Arial" w:hAnsi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1.15pt;margin-top:-20.75pt;width:700.3pt;height:31.95pt;z-index:251658240" filled="f" stroked="f">
          <v:textbox style="mso-next-textbox:#_x0000_s2050" inset="0,0">
            <w:txbxContent>
              <w:p w:rsidR="000566CC" w:rsidRDefault="003D2EC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690.75pt;height:28.5pt">
                      <v:imagedata r:id="rId1" o:title="balken_dt_4c"/>
                    </v:shape>
                  </w:pict>
                </w:r>
              </w:p>
            </w:txbxContent>
          </v:textbox>
        </v:shape>
      </w:pict>
    </w:r>
  </w:p>
  <w:p w:rsidR="000566CC" w:rsidRDefault="000566CC">
    <w:pPr>
      <w:pStyle w:val="Pidipagina"/>
      <w:jc w:val="both"/>
      <w:rPr>
        <w:rFonts w:ascii="Arial" w:hAnsi="Arial"/>
        <w:sz w:val="12"/>
      </w:rPr>
    </w:pPr>
  </w:p>
  <w:p w:rsidR="000566CC" w:rsidRDefault="000566CC">
    <w:pPr>
      <w:pStyle w:val="Pidipagina"/>
      <w:ind w:right="-229"/>
      <w:jc w:val="both"/>
      <w:rPr>
        <w:sz w:val="10"/>
      </w:rPr>
    </w:pPr>
    <w:r>
      <w:rPr>
        <w:rFonts w:ascii="Arial" w:hAnsi="Arial"/>
        <w:snapToGrid w:val="0"/>
        <w:color w:val="000000"/>
        <w:sz w:val="10"/>
      </w:rPr>
      <w:br/>
    </w:r>
    <w:r>
      <w:rPr>
        <w:rFonts w:ascii="Arial" w:hAnsi="Arial"/>
        <w:snapToGrid w:val="0"/>
        <w:color w:val="000000"/>
        <w:sz w:val="11"/>
      </w:rPr>
      <w:t xml:space="preserve">Südtiroler Volksbank, Rechtssit- und Generaldirektion, Schlschthofstrasse 55, I-39100 Bozen, Tel. 0471 99 61 11, Fax 0471/97 9 188, gsinfo@volksbank.it; Südiroler Volksbank, Gen. MbH. Steuer Nr./Mwst. Nr. 00129730214, Bankleitzahl 5856-0, Eigenvermögen 31.12.2004, € 333.410.188, Eintragung Handelsregiser Bozen Nr. 310, Miglied des Einlagensicherungsfonds, Bankengruppe „Südtiroler Volksbank“ eingetragen im Verzeichnid der Bankengrueppn am 02.02.1994                                                                                                                                                                                </w:t>
    </w:r>
    <w:r>
      <w:rPr>
        <w:rFonts w:ascii="Arial" w:hAnsi="Arial"/>
        <w:snapToGrid w:val="0"/>
        <w:color w:val="000000"/>
        <w:sz w:val="10"/>
      </w:rPr>
      <w:t>www.volksbank.it</w:t>
    </w:r>
    <w:r>
      <w:rPr>
        <w:rFonts w:ascii="Arial" w:hAnsi="Arial"/>
        <w:snapToGrid w:val="0"/>
        <w:color w:val="000000"/>
        <w:sz w:val="1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EC8" w:rsidRDefault="00823EC8">
      <w:r>
        <w:separator/>
      </w:r>
    </w:p>
  </w:footnote>
  <w:footnote w:type="continuationSeparator" w:id="0">
    <w:p w:rsidR="00823EC8" w:rsidRDefault="0082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6CC" w:rsidRDefault="003D2ECB">
    <w:pPr>
      <w:pStyle w:val="Intestazione"/>
      <w:ind w:right="572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5.55pt;margin-top:-17.35pt;width:14.15pt;height:14.15pt;z-index:251657216" filled="f" stroked="f">
          <v:textbox style="mso-next-textbox:#_x0000_s2049" inset="0,0,0,0">
            <w:txbxContent>
              <w:p w:rsidR="000566CC" w:rsidRDefault="003D2EC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4.25pt;height:14.25pt">
                      <v:imagedata r:id="rId1" o:title="quadrat_blau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303F"/>
    <w:multiLevelType w:val="hybridMultilevel"/>
    <w:tmpl w:val="34B429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EA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21956AD"/>
    <w:multiLevelType w:val="hybridMultilevel"/>
    <w:tmpl w:val="CE58A2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15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14D01B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120FE7"/>
    <w:multiLevelType w:val="hybridMultilevel"/>
    <w:tmpl w:val="0CF2E5F8"/>
    <w:lvl w:ilvl="0" w:tplc="202A4E2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715D6"/>
    <w:multiLevelType w:val="hybridMultilevel"/>
    <w:tmpl w:val="CFB4A1E6"/>
    <w:lvl w:ilvl="0" w:tplc="E6F8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73E54"/>
    <w:multiLevelType w:val="hybridMultilevel"/>
    <w:tmpl w:val="8F8A0E5E"/>
    <w:lvl w:ilvl="0" w:tplc="5008D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40C"/>
    <w:rsid w:val="00004C64"/>
    <w:rsid w:val="00012111"/>
    <w:rsid w:val="0002484B"/>
    <w:rsid w:val="000300FB"/>
    <w:rsid w:val="000302AD"/>
    <w:rsid w:val="00040062"/>
    <w:rsid w:val="00040E36"/>
    <w:rsid w:val="00042909"/>
    <w:rsid w:val="00044864"/>
    <w:rsid w:val="0005065F"/>
    <w:rsid w:val="000559AF"/>
    <w:rsid w:val="000566CC"/>
    <w:rsid w:val="00067096"/>
    <w:rsid w:val="00075140"/>
    <w:rsid w:val="000766CE"/>
    <w:rsid w:val="0009010E"/>
    <w:rsid w:val="00092229"/>
    <w:rsid w:val="00095625"/>
    <w:rsid w:val="000A55EC"/>
    <w:rsid w:val="000B2F2E"/>
    <w:rsid w:val="000B4A09"/>
    <w:rsid w:val="000C31B2"/>
    <w:rsid w:val="000C3440"/>
    <w:rsid w:val="000E23A4"/>
    <w:rsid w:val="000E444D"/>
    <w:rsid w:val="000F2A6F"/>
    <w:rsid w:val="001124D7"/>
    <w:rsid w:val="00130B1C"/>
    <w:rsid w:val="00130C4C"/>
    <w:rsid w:val="0013593F"/>
    <w:rsid w:val="00140078"/>
    <w:rsid w:val="00142A95"/>
    <w:rsid w:val="0015184F"/>
    <w:rsid w:val="0016121E"/>
    <w:rsid w:val="001705E9"/>
    <w:rsid w:val="00172A3A"/>
    <w:rsid w:val="00181714"/>
    <w:rsid w:val="00184018"/>
    <w:rsid w:val="00184433"/>
    <w:rsid w:val="0018510C"/>
    <w:rsid w:val="001876B3"/>
    <w:rsid w:val="001A316B"/>
    <w:rsid w:val="001A7352"/>
    <w:rsid w:val="001B5AB2"/>
    <w:rsid w:val="001C28C2"/>
    <w:rsid w:val="001C32D6"/>
    <w:rsid w:val="001C663A"/>
    <w:rsid w:val="001D5FFA"/>
    <w:rsid w:val="001E0005"/>
    <w:rsid w:val="001E63C0"/>
    <w:rsid w:val="001E7F3A"/>
    <w:rsid w:val="001F74C5"/>
    <w:rsid w:val="002010B3"/>
    <w:rsid w:val="00203BE7"/>
    <w:rsid w:val="00207437"/>
    <w:rsid w:val="0022605F"/>
    <w:rsid w:val="002412FF"/>
    <w:rsid w:val="0024308D"/>
    <w:rsid w:val="00246843"/>
    <w:rsid w:val="0025238B"/>
    <w:rsid w:val="00290C4A"/>
    <w:rsid w:val="00291075"/>
    <w:rsid w:val="002916CE"/>
    <w:rsid w:val="00291BAB"/>
    <w:rsid w:val="0029296C"/>
    <w:rsid w:val="00293E02"/>
    <w:rsid w:val="00296A40"/>
    <w:rsid w:val="002A310D"/>
    <w:rsid w:val="002A5E00"/>
    <w:rsid w:val="002B197F"/>
    <w:rsid w:val="002B1D81"/>
    <w:rsid w:val="002C1BE1"/>
    <w:rsid w:val="002C2A05"/>
    <w:rsid w:val="002C7D8A"/>
    <w:rsid w:val="002D2ADE"/>
    <w:rsid w:val="002D4149"/>
    <w:rsid w:val="002E17F6"/>
    <w:rsid w:val="002E6FB6"/>
    <w:rsid w:val="002F0B64"/>
    <w:rsid w:val="002F1DB5"/>
    <w:rsid w:val="00303DDA"/>
    <w:rsid w:val="00305E5A"/>
    <w:rsid w:val="00312228"/>
    <w:rsid w:val="00316178"/>
    <w:rsid w:val="003436AF"/>
    <w:rsid w:val="003535AA"/>
    <w:rsid w:val="0036215D"/>
    <w:rsid w:val="00364AF9"/>
    <w:rsid w:val="00367877"/>
    <w:rsid w:val="003679AB"/>
    <w:rsid w:val="00367BFA"/>
    <w:rsid w:val="00370F94"/>
    <w:rsid w:val="00372FC3"/>
    <w:rsid w:val="00375708"/>
    <w:rsid w:val="00375D35"/>
    <w:rsid w:val="003837AE"/>
    <w:rsid w:val="0038602E"/>
    <w:rsid w:val="00392611"/>
    <w:rsid w:val="003946B6"/>
    <w:rsid w:val="003A0747"/>
    <w:rsid w:val="003A2E49"/>
    <w:rsid w:val="003B2AC4"/>
    <w:rsid w:val="003B366A"/>
    <w:rsid w:val="003C0A33"/>
    <w:rsid w:val="003C26AF"/>
    <w:rsid w:val="003C2A93"/>
    <w:rsid w:val="003C670F"/>
    <w:rsid w:val="003D2464"/>
    <w:rsid w:val="003D2ECB"/>
    <w:rsid w:val="003D46CF"/>
    <w:rsid w:val="003D7885"/>
    <w:rsid w:val="003E1144"/>
    <w:rsid w:val="003F3B27"/>
    <w:rsid w:val="003F4E78"/>
    <w:rsid w:val="003F72CF"/>
    <w:rsid w:val="00420864"/>
    <w:rsid w:val="004224DA"/>
    <w:rsid w:val="004331A0"/>
    <w:rsid w:val="00434DC1"/>
    <w:rsid w:val="00436E77"/>
    <w:rsid w:val="00440E16"/>
    <w:rsid w:val="00444BD1"/>
    <w:rsid w:val="0044607A"/>
    <w:rsid w:val="004462F1"/>
    <w:rsid w:val="00446D2B"/>
    <w:rsid w:val="004551F0"/>
    <w:rsid w:val="00462D67"/>
    <w:rsid w:val="00466F3F"/>
    <w:rsid w:val="00477877"/>
    <w:rsid w:val="00482F93"/>
    <w:rsid w:val="00483112"/>
    <w:rsid w:val="004844DD"/>
    <w:rsid w:val="0048744E"/>
    <w:rsid w:val="00487769"/>
    <w:rsid w:val="0048784E"/>
    <w:rsid w:val="004923ED"/>
    <w:rsid w:val="00495DA4"/>
    <w:rsid w:val="004B1F3C"/>
    <w:rsid w:val="004B2017"/>
    <w:rsid w:val="004B6C77"/>
    <w:rsid w:val="004B6FE2"/>
    <w:rsid w:val="004C08A9"/>
    <w:rsid w:val="004C09FE"/>
    <w:rsid w:val="004C5264"/>
    <w:rsid w:val="004E131D"/>
    <w:rsid w:val="004E7074"/>
    <w:rsid w:val="004F0A4B"/>
    <w:rsid w:val="004F699D"/>
    <w:rsid w:val="00523BA3"/>
    <w:rsid w:val="00525092"/>
    <w:rsid w:val="00526ADF"/>
    <w:rsid w:val="00533F9C"/>
    <w:rsid w:val="00540129"/>
    <w:rsid w:val="00546977"/>
    <w:rsid w:val="00554015"/>
    <w:rsid w:val="00557692"/>
    <w:rsid w:val="00574FE2"/>
    <w:rsid w:val="00582FBB"/>
    <w:rsid w:val="00585BA7"/>
    <w:rsid w:val="005929E4"/>
    <w:rsid w:val="0059662C"/>
    <w:rsid w:val="005A6FC3"/>
    <w:rsid w:val="005A7D54"/>
    <w:rsid w:val="005C5410"/>
    <w:rsid w:val="005D595E"/>
    <w:rsid w:val="005D6768"/>
    <w:rsid w:val="005E2D21"/>
    <w:rsid w:val="005E5D5A"/>
    <w:rsid w:val="005F0462"/>
    <w:rsid w:val="005F7F54"/>
    <w:rsid w:val="00601944"/>
    <w:rsid w:val="00602152"/>
    <w:rsid w:val="00611DE2"/>
    <w:rsid w:val="00615163"/>
    <w:rsid w:val="006209A0"/>
    <w:rsid w:val="0062240C"/>
    <w:rsid w:val="0063207B"/>
    <w:rsid w:val="00633F9B"/>
    <w:rsid w:val="0064113A"/>
    <w:rsid w:val="00642958"/>
    <w:rsid w:val="006444EC"/>
    <w:rsid w:val="00655968"/>
    <w:rsid w:val="00660EC4"/>
    <w:rsid w:val="006611D0"/>
    <w:rsid w:val="0066732E"/>
    <w:rsid w:val="00671A05"/>
    <w:rsid w:val="00673FC8"/>
    <w:rsid w:val="006751C8"/>
    <w:rsid w:val="0067759C"/>
    <w:rsid w:val="00697374"/>
    <w:rsid w:val="006A7B0D"/>
    <w:rsid w:val="006C1025"/>
    <w:rsid w:val="006C29C4"/>
    <w:rsid w:val="006E0AC1"/>
    <w:rsid w:val="006E1043"/>
    <w:rsid w:val="006E524D"/>
    <w:rsid w:val="006E5633"/>
    <w:rsid w:val="006E5748"/>
    <w:rsid w:val="006E65FA"/>
    <w:rsid w:val="0072443D"/>
    <w:rsid w:val="00731170"/>
    <w:rsid w:val="00731AE5"/>
    <w:rsid w:val="00732F32"/>
    <w:rsid w:val="00733826"/>
    <w:rsid w:val="0073465C"/>
    <w:rsid w:val="007346F5"/>
    <w:rsid w:val="0073513F"/>
    <w:rsid w:val="00756CBC"/>
    <w:rsid w:val="00773821"/>
    <w:rsid w:val="00780527"/>
    <w:rsid w:val="007879A6"/>
    <w:rsid w:val="00791688"/>
    <w:rsid w:val="0079469E"/>
    <w:rsid w:val="00794F08"/>
    <w:rsid w:val="007B056E"/>
    <w:rsid w:val="007B5FD7"/>
    <w:rsid w:val="007B79C3"/>
    <w:rsid w:val="007C49AF"/>
    <w:rsid w:val="007D0365"/>
    <w:rsid w:val="007D1A7D"/>
    <w:rsid w:val="007D4FBD"/>
    <w:rsid w:val="007E211A"/>
    <w:rsid w:val="007F14D8"/>
    <w:rsid w:val="007F54BB"/>
    <w:rsid w:val="00800E44"/>
    <w:rsid w:val="00802001"/>
    <w:rsid w:val="00823EC8"/>
    <w:rsid w:val="00825A4C"/>
    <w:rsid w:val="008268EC"/>
    <w:rsid w:val="008328E4"/>
    <w:rsid w:val="00832A71"/>
    <w:rsid w:val="0083381A"/>
    <w:rsid w:val="00845F75"/>
    <w:rsid w:val="00855BE6"/>
    <w:rsid w:val="00860397"/>
    <w:rsid w:val="00863181"/>
    <w:rsid w:val="00867060"/>
    <w:rsid w:val="00887E9A"/>
    <w:rsid w:val="00897054"/>
    <w:rsid w:val="008A47D2"/>
    <w:rsid w:val="008A6C0D"/>
    <w:rsid w:val="008D00B9"/>
    <w:rsid w:val="008E6FF6"/>
    <w:rsid w:val="008F13EF"/>
    <w:rsid w:val="00903B8B"/>
    <w:rsid w:val="009109AE"/>
    <w:rsid w:val="00925845"/>
    <w:rsid w:val="0092641E"/>
    <w:rsid w:val="0093287E"/>
    <w:rsid w:val="009328F5"/>
    <w:rsid w:val="00936A3C"/>
    <w:rsid w:val="009440A9"/>
    <w:rsid w:val="00944950"/>
    <w:rsid w:val="00946B1B"/>
    <w:rsid w:val="00955075"/>
    <w:rsid w:val="0097362D"/>
    <w:rsid w:val="00975C92"/>
    <w:rsid w:val="009814F3"/>
    <w:rsid w:val="00986CE9"/>
    <w:rsid w:val="009A14EA"/>
    <w:rsid w:val="009A2B0F"/>
    <w:rsid w:val="009C1A58"/>
    <w:rsid w:val="009C697D"/>
    <w:rsid w:val="009D5848"/>
    <w:rsid w:val="009E24DE"/>
    <w:rsid w:val="009E4623"/>
    <w:rsid w:val="009E6FBB"/>
    <w:rsid w:val="009F0C90"/>
    <w:rsid w:val="009F14DA"/>
    <w:rsid w:val="00A008A8"/>
    <w:rsid w:val="00A01932"/>
    <w:rsid w:val="00A03AAF"/>
    <w:rsid w:val="00A147DD"/>
    <w:rsid w:val="00A2438A"/>
    <w:rsid w:val="00A44E8A"/>
    <w:rsid w:val="00A575F9"/>
    <w:rsid w:val="00A779E4"/>
    <w:rsid w:val="00A804AD"/>
    <w:rsid w:val="00A82987"/>
    <w:rsid w:val="00A82BDC"/>
    <w:rsid w:val="00A84AD9"/>
    <w:rsid w:val="00A90599"/>
    <w:rsid w:val="00A92292"/>
    <w:rsid w:val="00A93895"/>
    <w:rsid w:val="00A93F43"/>
    <w:rsid w:val="00AB1C3A"/>
    <w:rsid w:val="00AC05F8"/>
    <w:rsid w:val="00AC1FD4"/>
    <w:rsid w:val="00AC4E55"/>
    <w:rsid w:val="00AC52CC"/>
    <w:rsid w:val="00AD271B"/>
    <w:rsid w:val="00AE2615"/>
    <w:rsid w:val="00AF29C5"/>
    <w:rsid w:val="00AF412A"/>
    <w:rsid w:val="00B06B19"/>
    <w:rsid w:val="00B11D18"/>
    <w:rsid w:val="00B11F88"/>
    <w:rsid w:val="00B151B9"/>
    <w:rsid w:val="00B15A3E"/>
    <w:rsid w:val="00B2112D"/>
    <w:rsid w:val="00B2251B"/>
    <w:rsid w:val="00B27612"/>
    <w:rsid w:val="00B33616"/>
    <w:rsid w:val="00B41BF5"/>
    <w:rsid w:val="00B4437B"/>
    <w:rsid w:val="00B52C71"/>
    <w:rsid w:val="00B621C5"/>
    <w:rsid w:val="00B6387C"/>
    <w:rsid w:val="00B63920"/>
    <w:rsid w:val="00B76253"/>
    <w:rsid w:val="00B76795"/>
    <w:rsid w:val="00B83D21"/>
    <w:rsid w:val="00B93353"/>
    <w:rsid w:val="00BA0617"/>
    <w:rsid w:val="00BA084D"/>
    <w:rsid w:val="00BA0DDE"/>
    <w:rsid w:val="00BA2FBC"/>
    <w:rsid w:val="00BA3E96"/>
    <w:rsid w:val="00BB2F43"/>
    <w:rsid w:val="00BB3A78"/>
    <w:rsid w:val="00BC0ECE"/>
    <w:rsid w:val="00BC4B15"/>
    <w:rsid w:val="00BD6799"/>
    <w:rsid w:val="00BE219E"/>
    <w:rsid w:val="00BE7820"/>
    <w:rsid w:val="00BF3AC8"/>
    <w:rsid w:val="00BF4DE8"/>
    <w:rsid w:val="00C069B0"/>
    <w:rsid w:val="00C10531"/>
    <w:rsid w:val="00C105E0"/>
    <w:rsid w:val="00C325AB"/>
    <w:rsid w:val="00C459A1"/>
    <w:rsid w:val="00C52AA5"/>
    <w:rsid w:val="00C57F2E"/>
    <w:rsid w:val="00C60647"/>
    <w:rsid w:val="00C630F8"/>
    <w:rsid w:val="00C73182"/>
    <w:rsid w:val="00C74C72"/>
    <w:rsid w:val="00C77559"/>
    <w:rsid w:val="00C86640"/>
    <w:rsid w:val="00C90A11"/>
    <w:rsid w:val="00CA79AC"/>
    <w:rsid w:val="00CB13AC"/>
    <w:rsid w:val="00CC05F8"/>
    <w:rsid w:val="00CC1CAE"/>
    <w:rsid w:val="00CC2294"/>
    <w:rsid w:val="00CD0715"/>
    <w:rsid w:val="00CD44E1"/>
    <w:rsid w:val="00CD4FD2"/>
    <w:rsid w:val="00CE3CBC"/>
    <w:rsid w:val="00CF3B99"/>
    <w:rsid w:val="00D119C3"/>
    <w:rsid w:val="00D17B37"/>
    <w:rsid w:val="00D20022"/>
    <w:rsid w:val="00D25589"/>
    <w:rsid w:val="00D2686E"/>
    <w:rsid w:val="00D30DC4"/>
    <w:rsid w:val="00D3113F"/>
    <w:rsid w:val="00D31353"/>
    <w:rsid w:val="00D32848"/>
    <w:rsid w:val="00D35274"/>
    <w:rsid w:val="00D35759"/>
    <w:rsid w:val="00D3767A"/>
    <w:rsid w:val="00D421B7"/>
    <w:rsid w:val="00D44CF5"/>
    <w:rsid w:val="00D54312"/>
    <w:rsid w:val="00D54609"/>
    <w:rsid w:val="00D57D4D"/>
    <w:rsid w:val="00D6509B"/>
    <w:rsid w:val="00D77945"/>
    <w:rsid w:val="00D833A2"/>
    <w:rsid w:val="00D9175E"/>
    <w:rsid w:val="00D91C07"/>
    <w:rsid w:val="00D91F53"/>
    <w:rsid w:val="00DA7DB9"/>
    <w:rsid w:val="00DB369A"/>
    <w:rsid w:val="00DB4BB3"/>
    <w:rsid w:val="00DB53CD"/>
    <w:rsid w:val="00DB60EB"/>
    <w:rsid w:val="00DC3B37"/>
    <w:rsid w:val="00DD7BBD"/>
    <w:rsid w:val="00DE123B"/>
    <w:rsid w:val="00DE1972"/>
    <w:rsid w:val="00E001A1"/>
    <w:rsid w:val="00E10D9D"/>
    <w:rsid w:val="00E12B5C"/>
    <w:rsid w:val="00E15290"/>
    <w:rsid w:val="00E26071"/>
    <w:rsid w:val="00E323D1"/>
    <w:rsid w:val="00E35BCF"/>
    <w:rsid w:val="00E403D3"/>
    <w:rsid w:val="00E55BC2"/>
    <w:rsid w:val="00E563CD"/>
    <w:rsid w:val="00E60F33"/>
    <w:rsid w:val="00E6163D"/>
    <w:rsid w:val="00E62786"/>
    <w:rsid w:val="00E64ACA"/>
    <w:rsid w:val="00E67ED0"/>
    <w:rsid w:val="00E708A2"/>
    <w:rsid w:val="00E74F0E"/>
    <w:rsid w:val="00E91C54"/>
    <w:rsid w:val="00E92981"/>
    <w:rsid w:val="00EA77ED"/>
    <w:rsid w:val="00EB5D69"/>
    <w:rsid w:val="00ED762A"/>
    <w:rsid w:val="00F10BFC"/>
    <w:rsid w:val="00F12749"/>
    <w:rsid w:val="00F24178"/>
    <w:rsid w:val="00F44A3E"/>
    <w:rsid w:val="00F51ED0"/>
    <w:rsid w:val="00F56AD5"/>
    <w:rsid w:val="00F5737E"/>
    <w:rsid w:val="00F6184B"/>
    <w:rsid w:val="00F679B7"/>
    <w:rsid w:val="00F72C3D"/>
    <w:rsid w:val="00F747DF"/>
    <w:rsid w:val="00F7786A"/>
    <w:rsid w:val="00F90065"/>
    <w:rsid w:val="00FB4407"/>
    <w:rsid w:val="00FC35AF"/>
    <w:rsid w:val="00FD1F8D"/>
    <w:rsid w:val="00FD28A9"/>
    <w:rsid w:val="00FD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055"/>
    <o:shapelayout v:ext="edit">
      <o:idmap v:ext="edit" data="1"/>
    </o:shapelayout>
  </w:shapeDefaults>
  <w:decimalSymbol w:val=","/>
  <w:listSeparator w:val=";"/>
  <w14:docId w14:val="207E5E99"/>
  <w15:chartTrackingRefBased/>
  <w15:docId w15:val="{700CF570-30E8-4012-8A2E-98614353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sid w:val="00526ADF"/>
  </w:style>
  <w:style w:type="paragraph" w:styleId="Titolo1">
    <w:name w:val="heading 1"/>
    <w:basedOn w:val="Normale"/>
    <w:next w:val="Normale"/>
    <w:qFormat/>
    <w:rsid w:val="00526ADF"/>
    <w:pPr>
      <w:keepNext/>
      <w:tabs>
        <w:tab w:val="left" w:pos="3686"/>
        <w:tab w:val="right" w:pos="9639"/>
      </w:tabs>
      <w:outlineLvl w:val="0"/>
    </w:pPr>
    <w:rPr>
      <w:b/>
      <w:sz w:val="22"/>
    </w:rPr>
  </w:style>
  <w:style w:type="paragraph" w:styleId="Titolo2">
    <w:name w:val="heading 2"/>
    <w:basedOn w:val="Normale"/>
    <w:next w:val="Normale"/>
    <w:qFormat/>
    <w:rsid w:val="00526ADF"/>
    <w:pPr>
      <w:keepNext/>
      <w:outlineLvl w:val="1"/>
    </w:pPr>
    <w:rPr>
      <w: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26AD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526ADF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52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513F"/>
  </w:style>
  <w:style w:type="character" w:styleId="Rimandocommento">
    <w:name w:val="annotation reference"/>
    <w:rsid w:val="00C74C7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C74C72"/>
    <w:rPr>
      <w:rFonts w:eastAsia="MS Mincho"/>
      <w:lang w:val="en-US" w:eastAsia="it-IT"/>
    </w:rPr>
  </w:style>
  <w:style w:type="paragraph" w:styleId="Testofumetto">
    <w:name w:val="Balloon Text"/>
    <w:basedOn w:val="Normale"/>
    <w:semiHidden/>
    <w:rsid w:val="00C74C72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533F9C"/>
    <w:rPr>
      <w:rFonts w:eastAsia="Times New Roman"/>
      <w:b/>
      <w:bCs/>
      <w:lang w:val="de-DE" w:eastAsia="de-DE"/>
    </w:rPr>
  </w:style>
  <w:style w:type="character" w:customStyle="1" w:styleId="TestocommentoCarattere">
    <w:name w:val="Testo commento Carattere"/>
    <w:link w:val="Testocommento"/>
    <w:semiHidden/>
    <w:rsid w:val="00533F9C"/>
    <w:rPr>
      <w:rFonts w:eastAsia="MS Mincho"/>
      <w:lang w:val="en-US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533F9C"/>
    <w:rPr>
      <w:rFonts w:eastAsia="MS Mincho"/>
      <w:lang w:val="en-US" w:eastAsia="it-IT"/>
    </w:rPr>
  </w:style>
  <w:style w:type="paragraph" w:styleId="PreformattatoHTML">
    <w:name w:val="HTML Preformatted"/>
    <w:basedOn w:val="Normale"/>
    <w:rsid w:val="00FD1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DFB1-8E4E-46F1-87E6-55B7A80A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49CA839C.dotm</Template>
  <TotalTime>0</TotalTime>
  <Pages>4</Pages>
  <Words>1236</Words>
  <Characters>7051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Spett</vt:lpstr>
      <vt:lpstr>Spett</vt:lpstr>
    </vt:vector>
  </TitlesOfParts>
  <Company>prov.bz</Company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Miriam Doni</dc:creator>
  <cp:keywords/>
  <dc:description/>
  <cp:lastModifiedBy>Busato, Patrizia</cp:lastModifiedBy>
  <cp:revision>3</cp:revision>
  <cp:lastPrinted>2013-03-26T11:20:00Z</cp:lastPrinted>
  <dcterms:created xsi:type="dcterms:W3CDTF">2020-10-09T06:29:00Z</dcterms:created>
  <dcterms:modified xsi:type="dcterms:W3CDTF">2020-10-19T08:23:00Z</dcterms:modified>
</cp:coreProperties>
</file>